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096560" w:rsidRPr="00F0586F" w:rsidTr="009B5BE1">
        <w:tc>
          <w:tcPr>
            <w:tcW w:w="9288" w:type="dxa"/>
            <w:gridSpan w:val="2"/>
            <w:tcBorders>
              <w:bottom w:val="single" w:sz="4" w:space="0" w:color="auto"/>
            </w:tcBorders>
            <w:vAlign w:val="center"/>
          </w:tcPr>
          <w:p w:rsidR="009B5BE1" w:rsidRPr="007A4E6F" w:rsidRDefault="00096560" w:rsidP="009B5B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4E6F">
              <w:rPr>
                <w:rFonts w:ascii="Times New Roman" w:hAnsi="Times New Roman"/>
                <w:b/>
                <w:sz w:val="28"/>
                <w:szCs w:val="28"/>
              </w:rPr>
              <w:t>Curriculum vitae</w:t>
            </w:r>
          </w:p>
        </w:tc>
      </w:tr>
      <w:tr w:rsidR="00096560" w:rsidRPr="00F0586F" w:rsidTr="00F0586F">
        <w:tc>
          <w:tcPr>
            <w:tcW w:w="9288" w:type="dxa"/>
            <w:gridSpan w:val="2"/>
            <w:shd w:val="clear" w:color="auto" w:fill="D9D9D9"/>
          </w:tcPr>
          <w:p w:rsidR="00096560" w:rsidRDefault="005F6272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PERSONAL INFORMATION</w:t>
            </w:r>
          </w:p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560" w:rsidRPr="00F0586F" w:rsidTr="00F0586F">
        <w:tc>
          <w:tcPr>
            <w:tcW w:w="4644" w:type="dxa"/>
          </w:tcPr>
          <w:p w:rsidR="00096560" w:rsidRPr="00F0586F" w:rsidRDefault="00096560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tc>
          <w:tcPr>
            <w:tcW w:w="4644" w:type="dxa"/>
          </w:tcPr>
          <w:p w:rsidR="00096560" w:rsidRPr="00F0586F" w:rsidRDefault="00207C1A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bCs/>
                <w:sz w:val="24"/>
                <w:szCs w:val="24"/>
              </w:rPr>
              <w:t>MIRTA MILIĆ</w:t>
            </w:r>
          </w:p>
        </w:tc>
      </w:tr>
      <w:tr w:rsidR="00096560" w:rsidRPr="00F0586F" w:rsidTr="00F0586F">
        <w:tc>
          <w:tcPr>
            <w:tcW w:w="4644" w:type="dxa"/>
          </w:tcPr>
          <w:p w:rsidR="00096560" w:rsidRPr="00F0586F" w:rsidRDefault="00096560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Academic title</w:t>
            </w:r>
          </w:p>
        </w:tc>
        <w:tc>
          <w:tcPr>
            <w:tcW w:w="4644" w:type="dxa"/>
          </w:tcPr>
          <w:p w:rsidR="00096560" w:rsidRPr="00F0586F" w:rsidRDefault="00207C1A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PhD</w:t>
            </w:r>
          </w:p>
        </w:tc>
      </w:tr>
      <w:tr w:rsidR="00096560" w:rsidRPr="00F0586F" w:rsidTr="00F0586F">
        <w:tc>
          <w:tcPr>
            <w:tcW w:w="4644" w:type="dxa"/>
          </w:tcPr>
          <w:p w:rsidR="00096560" w:rsidRPr="00F0586F" w:rsidRDefault="00096560" w:rsidP="00F0586F">
            <w:pPr>
              <w:pStyle w:val="Aeeaoaeaa1"/>
              <w:widowControl/>
              <w:spacing w:before="40" w:after="40"/>
              <w:jc w:val="left"/>
              <w:rPr>
                <w:sz w:val="24"/>
                <w:szCs w:val="24"/>
                <w:lang w:val="en-GB"/>
              </w:rPr>
            </w:pPr>
            <w:r w:rsidRPr="00F0586F">
              <w:rPr>
                <w:sz w:val="24"/>
                <w:szCs w:val="24"/>
                <w:lang w:val="en-GB"/>
              </w:rPr>
              <w:t xml:space="preserve">Year and institution of PhD obtained </w:t>
            </w:r>
          </w:p>
          <w:p w:rsidR="00096560" w:rsidRPr="00F0586F" w:rsidRDefault="00096560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096560" w:rsidRPr="00F0586F" w:rsidRDefault="00207C1A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>2010, FACULTY OF SCIENCE, INSTITUTE FOR MEDICAL RESEARCH AND OCCUPATIONAL HEALTH</w:t>
            </w:r>
          </w:p>
        </w:tc>
      </w:tr>
      <w:tr w:rsidR="00096560" w:rsidRPr="00F0586F" w:rsidTr="00F0586F">
        <w:tc>
          <w:tcPr>
            <w:tcW w:w="4644" w:type="dxa"/>
          </w:tcPr>
          <w:p w:rsidR="00096560" w:rsidRPr="00F0586F" w:rsidRDefault="00096560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644" w:type="dxa"/>
          </w:tcPr>
          <w:p w:rsidR="00096560" w:rsidRPr="00F0586F" w:rsidRDefault="00207C1A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>KSAVERSKA CESTA 2, 10000 ZAGREB, CROATIA</w:t>
            </w:r>
          </w:p>
        </w:tc>
      </w:tr>
      <w:tr w:rsidR="00096560" w:rsidRPr="00F0586F" w:rsidTr="00F0586F">
        <w:tc>
          <w:tcPr>
            <w:tcW w:w="4644" w:type="dxa"/>
          </w:tcPr>
          <w:p w:rsidR="00096560" w:rsidRPr="00F0586F" w:rsidRDefault="00096560" w:rsidP="00F0586F">
            <w:pPr>
              <w:pStyle w:val="Aeeaoaeaa1"/>
              <w:widowControl/>
              <w:spacing w:before="40" w:after="40"/>
              <w:jc w:val="left"/>
              <w:rPr>
                <w:sz w:val="24"/>
                <w:szCs w:val="24"/>
                <w:lang w:val="en-GB"/>
              </w:rPr>
            </w:pPr>
            <w:r w:rsidRPr="00F0586F">
              <w:rPr>
                <w:sz w:val="24"/>
                <w:szCs w:val="24"/>
                <w:lang w:val="en-GB"/>
              </w:rPr>
              <w:t>Phone</w:t>
            </w:r>
          </w:p>
        </w:tc>
        <w:tc>
          <w:tcPr>
            <w:tcW w:w="4644" w:type="dxa"/>
          </w:tcPr>
          <w:p w:rsidR="00096560" w:rsidRPr="00F0586F" w:rsidRDefault="00207C1A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 xml:space="preserve">00385 </w:t>
            </w:r>
            <w:r w:rsidR="00383FC4" w:rsidRPr="00F0586F">
              <w:rPr>
                <w:rFonts w:ascii="Times New Roman" w:hAnsi="Times New Roman"/>
                <w:bCs/>
                <w:sz w:val="24"/>
                <w:szCs w:val="24"/>
              </w:rPr>
              <w:t xml:space="preserve">1 4682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633</w:t>
            </w:r>
          </w:p>
        </w:tc>
      </w:tr>
      <w:tr w:rsidR="00096560" w:rsidRPr="00F0586F" w:rsidTr="00F0586F">
        <w:tc>
          <w:tcPr>
            <w:tcW w:w="4644" w:type="dxa"/>
          </w:tcPr>
          <w:p w:rsidR="00096560" w:rsidRPr="00F0586F" w:rsidRDefault="00096560" w:rsidP="00F0586F">
            <w:pPr>
              <w:pStyle w:val="Aeeaoaeaa1"/>
              <w:widowControl/>
              <w:spacing w:before="40" w:after="40"/>
              <w:jc w:val="left"/>
              <w:rPr>
                <w:sz w:val="24"/>
                <w:szCs w:val="24"/>
                <w:lang w:val="en-GB"/>
              </w:rPr>
            </w:pPr>
            <w:r w:rsidRPr="00F0586F">
              <w:rPr>
                <w:sz w:val="24"/>
                <w:szCs w:val="24"/>
                <w:lang w:val="en-GB"/>
              </w:rPr>
              <w:t>Fax</w:t>
            </w:r>
          </w:p>
        </w:tc>
        <w:tc>
          <w:tcPr>
            <w:tcW w:w="4644" w:type="dxa"/>
          </w:tcPr>
          <w:p w:rsidR="00096560" w:rsidRPr="00F0586F" w:rsidRDefault="00383FC4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00385 1 4673 303</w:t>
            </w:r>
          </w:p>
        </w:tc>
      </w:tr>
      <w:tr w:rsidR="00096560" w:rsidRPr="00F0586F" w:rsidTr="00F0586F">
        <w:tc>
          <w:tcPr>
            <w:tcW w:w="4644" w:type="dxa"/>
          </w:tcPr>
          <w:p w:rsidR="00096560" w:rsidRPr="00F0586F" w:rsidRDefault="00096560" w:rsidP="00F0586F">
            <w:pPr>
              <w:pStyle w:val="Aeeaoaeaa1"/>
              <w:widowControl/>
              <w:spacing w:before="40" w:after="40"/>
              <w:jc w:val="left"/>
              <w:rPr>
                <w:sz w:val="24"/>
                <w:szCs w:val="24"/>
                <w:lang w:val="en-GB"/>
              </w:rPr>
            </w:pPr>
            <w:r w:rsidRPr="00F0586F">
              <w:rPr>
                <w:sz w:val="24"/>
                <w:szCs w:val="24"/>
                <w:lang w:val="en-GB"/>
              </w:rPr>
              <w:t>E-mail</w:t>
            </w:r>
          </w:p>
        </w:tc>
        <w:tc>
          <w:tcPr>
            <w:tcW w:w="4644" w:type="dxa"/>
          </w:tcPr>
          <w:p w:rsidR="00096560" w:rsidRPr="00F0586F" w:rsidRDefault="00383FC4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mmilic@imi.hr</w:t>
            </w:r>
          </w:p>
        </w:tc>
      </w:tr>
      <w:tr w:rsidR="00096560" w:rsidRPr="00F0586F" w:rsidTr="00F0586F">
        <w:tc>
          <w:tcPr>
            <w:tcW w:w="4644" w:type="dxa"/>
          </w:tcPr>
          <w:p w:rsidR="00096560" w:rsidRPr="00F0586F" w:rsidRDefault="00096560" w:rsidP="00F0586F">
            <w:pPr>
              <w:pStyle w:val="Aeeaoaeaa1"/>
              <w:widowControl/>
              <w:spacing w:before="20" w:after="20"/>
              <w:jc w:val="left"/>
              <w:rPr>
                <w:sz w:val="24"/>
                <w:szCs w:val="24"/>
                <w:lang w:val="en-GB"/>
              </w:rPr>
            </w:pPr>
            <w:r w:rsidRPr="00F0586F">
              <w:rPr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4644" w:type="dxa"/>
          </w:tcPr>
          <w:p w:rsidR="00096560" w:rsidRPr="00F0586F" w:rsidRDefault="00383FC4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CROATIAN</w:t>
            </w:r>
          </w:p>
        </w:tc>
      </w:tr>
      <w:tr w:rsidR="00096560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096560" w:rsidRPr="00F0586F" w:rsidRDefault="00096560" w:rsidP="00F0586F">
            <w:pPr>
              <w:pStyle w:val="Aaoeeu"/>
              <w:widowControl/>
              <w:spacing w:before="20" w:after="20"/>
              <w:rPr>
                <w:b/>
                <w:sz w:val="24"/>
                <w:szCs w:val="24"/>
                <w:lang w:val="en-GB"/>
              </w:rPr>
            </w:pPr>
            <w:r w:rsidRPr="00F0586F">
              <w:rPr>
                <w:b/>
                <w:sz w:val="24"/>
                <w:szCs w:val="24"/>
                <w:lang w:val="en-GB"/>
              </w:rPr>
              <w:t>Date and place of birth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096560" w:rsidRPr="00F0586F" w:rsidRDefault="00383FC4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>24.08.1980, ZAGREB, CROATIA</w:t>
            </w:r>
          </w:p>
        </w:tc>
      </w:tr>
      <w:tr w:rsidR="00096560" w:rsidRPr="00F0586F" w:rsidTr="00F0586F">
        <w:tc>
          <w:tcPr>
            <w:tcW w:w="9288" w:type="dxa"/>
            <w:gridSpan w:val="2"/>
            <w:shd w:val="clear" w:color="auto" w:fill="D9D9D9"/>
          </w:tcPr>
          <w:p w:rsidR="00096560" w:rsidRDefault="005F6272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WORK EXPERIENCE  (CHRONOLOGICALLY)</w:t>
            </w:r>
          </w:p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DA73FB" w:rsidRPr="00F0586F" w:rsidTr="00F0586F">
        <w:tc>
          <w:tcPr>
            <w:tcW w:w="4644" w:type="dxa"/>
          </w:tcPr>
          <w:p w:rsidR="00DA73FB" w:rsidRPr="00F0586F" w:rsidRDefault="00DA73FB" w:rsidP="00DB1C5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Date (from – until)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DA73FB" w:rsidRPr="009E7F9E" w:rsidRDefault="00DA73FB" w:rsidP="00DB1C5F">
            <w:pPr>
              <w:pStyle w:val="OiaeaeiYiio2"/>
              <w:widowControl/>
              <w:tabs>
                <w:tab w:val="left" w:pos="3048"/>
              </w:tabs>
              <w:spacing w:before="20" w:after="20"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2011.-</w:t>
            </w:r>
          </w:p>
        </w:tc>
      </w:tr>
      <w:tr w:rsidR="00DA73FB" w:rsidRPr="00F0586F" w:rsidTr="00F0586F">
        <w:tc>
          <w:tcPr>
            <w:tcW w:w="4644" w:type="dxa"/>
          </w:tcPr>
          <w:p w:rsidR="00DA73FB" w:rsidRPr="00F0586F" w:rsidRDefault="00DA73FB" w:rsidP="00DB1C5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Institution 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DA73FB" w:rsidRPr="00F0586F" w:rsidRDefault="00DA73FB" w:rsidP="00DB1C5F">
            <w:pPr>
              <w:pStyle w:val="OiaeaeiYiio2"/>
              <w:widowControl/>
              <w:tabs>
                <w:tab w:val="left" w:pos="3036"/>
              </w:tabs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 xml:space="preserve">INSTITUTE FOR MEDICAL RESEARCH AND OCCUPATIONAL HEALTH, MUTAGENESIS UNIT </w:t>
            </w:r>
          </w:p>
        </w:tc>
      </w:tr>
      <w:tr w:rsidR="00DA73FB" w:rsidRPr="00F0586F" w:rsidTr="00F0586F">
        <w:tc>
          <w:tcPr>
            <w:tcW w:w="4644" w:type="dxa"/>
          </w:tcPr>
          <w:p w:rsidR="00DA73FB" w:rsidRPr="00F0586F" w:rsidRDefault="00DA73FB" w:rsidP="00DB1C5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Position 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DA73FB" w:rsidRPr="009E7F9E" w:rsidRDefault="00DA73FB" w:rsidP="00DB1C5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Sci. Assoc.</w:t>
            </w:r>
          </w:p>
        </w:tc>
      </w:tr>
      <w:tr w:rsidR="00DA73FB" w:rsidRPr="00F0586F" w:rsidTr="00F0586F">
        <w:tc>
          <w:tcPr>
            <w:tcW w:w="4644" w:type="dxa"/>
          </w:tcPr>
          <w:p w:rsidR="00DA73FB" w:rsidRPr="00F0586F" w:rsidRDefault="00DA73FB" w:rsidP="00DB1C5F">
            <w:pPr>
              <w:pStyle w:val="OiaeaeiYiio2"/>
              <w:widowControl/>
              <w:spacing w:before="20" w:after="20"/>
              <w:jc w:val="left"/>
              <w:rPr>
                <w:bCs/>
                <w:i w:val="0"/>
                <w:sz w:val="24"/>
                <w:szCs w:val="24"/>
                <w:lang w:val="en-GB"/>
              </w:rPr>
            </w:pPr>
            <w:r w:rsidRPr="00F0586F">
              <w:rPr>
                <w:bCs/>
                <w:i w:val="0"/>
                <w:sz w:val="24"/>
                <w:szCs w:val="24"/>
                <w:lang w:val="en-GB"/>
              </w:rPr>
              <w:t>Work field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DA73FB" w:rsidRPr="00F0586F" w:rsidRDefault="00DA73FB" w:rsidP="00DB1C5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 xml:space="preserve">Genotoxicology and genetic monitoring 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F0586F" w:rsidRDefault="00383FC4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Date (from – until)</w:t>
            </w:r>
          </w:p>
        </w:tc>
        <w:tc>
          <w:tcPr>
            <w:tcW w:w="4644" w:type="dxa"/>
            <w:tcBorders>
              <w:bottom w:val="nil"/>
            </w:tcBorders>
          </w:tcPr>
          <w:p w:rsidR="00383FC4" w:rsidRPr="009E7F9E" w:rsidRDefault="00383FC4" w:rsidP="00F0586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2010.-2011.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F0586F" w:rsidRDefault="00383FC4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Institution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383FC4" w:rsidRPr="00F0586F" w:rsidRDefault="00383FC4" w:rsidP="00F0586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>INSTITUTE FOR MEDICAL RESEARCH AND OCCUPATIONAL HEALTH, MUTAGENESIS UNIT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F0586F" w:rsidRDefault="00383FC4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Position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383FC4" w:rsidRPr="009E7F9E" w:rsidRDefault="00383FC4" w:rsidP="00F0586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</w:rPr>
              <w:t>Research Assistant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F0586F" w:rsidRDefault="00383FC4" w:rsidP="00F0586F">
            <w:pPr>
              <w:pStyle w:val="OiaeaeiYiio2"/>
              <w:widowControl/>
              <w:spacing w:before="20" w:after="20"/>
              <w:jc w:val="left"/>
              <w:rPr>
                <w:bCs/>
                <w:i w:val="0"/>
                <w:sz w:val="24"/>
                <w:szCs w:val="24"/>
                <w:lang w:val="en-GB"/>
              </w:rPr>
            </w:pPr>
            <w:r w:rsidRPr="00F0586F">
              <w:rPr>
                <w:bCs/>
                <w:i w:val="0"/>
                <w:sz w:val="24"/>
                <w:szCs w:val="24"/>
                <w:lang w:val="en-GB"/>
              </w:rPr>
              <w:t>Work field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83FC4" w:rsidRPr="00F0586F" w:rsidRDefault="00383FC4" w:rsidP="00F0586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>Genotoxicology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F0586F" w:rsidRDefault="00383FC4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Date (from – until)</w:t>
            </w:r>
          </w:p>
        </w:tc>
        <w:tc>
          <w:tcPr>
            <w:tcW w:w="4644" w:type="dxa"/>
            <w:tcBorders>
              <w:bottom w:val="nil"/>
            </w:tcBorders>
          </w:tcPr>
          <w:p w:rsidR="00383FC4" w:rsidRPr="009E7F9E" w:rsidRDefault="00383FC4" w:rsidP="00F0586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2004.-2010.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F0586F" w:rsidRDefault="00383FC4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Institution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383FC4" w:rsidRPr="00F0586F" w:rsidRDefault="00383FC4" w:rsidP="00F0586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>INSTITUTE FOR MEDICAL RESEARCH AND OCCUPATIONAL HEALTH, MUTAGENESIS UNIT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F0586F" w:rsidRDefault="00383FC4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Position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383FC4" w:rsidRPr="009E7F9E" w:rsidRDefault="00383FC4" w:rsidP="00F0586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PhD student, Assistant</w:t>
            </w:r>
          </w:p>
        </w:tc>
      </w:tr>
      <w:tr w:rsidR="00383FC4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383FC4" w:rsidRPr="00F0586F" w:rsidRDefault="00383FC4" w:rsidP="00F0586F">
            <w:pPr>
              <w:pStyle w:val="OiaeaeiYiio2"/>
              <w:widowControl/>
              <w:spacing w:before="20" w:after="20"/>
              <w:jc w:val="left"/>
              <w:rPr>
                <w:bCs/>
                <w:i w:val="0"/>
                <w:sz w:val="24"/>
                <w:szCs w:val="24"/>
                <w:lang w:val="en-GB"/>
              </w:rPr>
            </w:pPr>
            <w:r w:rsidRPr="00F0586F">
              <w:rPr>
                <w:bCs/>
                <w:i w:val="0"/>
                <w:sz w:val="24"/>
                <w:szCs w:val="24"/>
                <w:lang w:val="en-GB"/>
              </w:rPr>
              <w:t>Work field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83FC4" w:rsidRPr="00F0586F" w:rsidRDefault="00383FC4" w:rsidP="00F0586F">
            <w:pPr>
              <w:pStyle w:val="OiaeaeiYiio2"/>
              <w:widowControl/>
              <w:tabs>
                <w:tab w:val="left" w:pos="3010"/>
              </w:tabs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>Genotoxicology</w:t>
            </w:r>
          </w:p>
        </w:tc>
      </w:tr>
      <w:tr w:rsidR="00383FC4" w:rsidRPr="00F0586F" w:rsidTr="00F0586F">
        <w:tc>
          <w:tcPr>
            <w:tcW w:w="9288" w:type="dxa"/>
            <w:gridSpan w:val="2"/>
            <w:shd w:val="clear" w:color="auto" w:fill="D9D9D9"/>
          </w:tcPr>
          <w:p w:rsidR="00383FC4" w:rsidRDefault="005F6272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EDUCATION  (CHRONOLOGICALLY)</w:t>
            </w:r>
          </w:p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383FC4" w:rsidRPr="00F0586F" w:rsidTr="00F0586F">
        <w:tc>
          <w:tcPr>
            <w:tcW w:w="4644" w:type="dxa"/>
          </w:tcPr>
          <w:p w:rsidR="00383FC4" w:rsidRPr="009B5BE1" w:rsidRDefault="00383FC4" w:rsidP="00F0586F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en-GB"/>
              </w:rPr>
            </w:pPr>
            <w:r w:rsidRPr="009B5BE1">
              <w:rPr>
                <w:i w:val="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4644" w:type="dxa"/>
            <w:tcBorders>
              <w:bottom w:val="nil"/>
            </w:tcBorders>
          </w:tcPr>
          <w:p w:rsidR="00383FC4" w:rsidRPr="009E7F9E" w:rsidRDefault="009B5BE1" w:rsidP="00630612">
            <w:pPr>
              <w:pStyle w:val="OiaeaeiYiio2"/>
              <w:widowControl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1.3.2013</w:t>
            </w:r>
            <w:r w:rsidR="00630612" w:rsidRPr="009E7F9E">
              <w:rPr>
                <w:b/>
                <w:i w:val="0"/>
                <w:sz w:val="24"/>
                <w:szCs w:val="24"/>
                <w:lang w:val="hr-HR"/>
              </w:rPr>
              <w:t>-31.12.2014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9B5BE1" w:rsidRDefault="00383FC4" w:rsidP="00F0586F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en-GB"/>
              </w:rPr>
            </w:pPr>
            <w:r w:rsidRPr="009B5BE1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383FC4" w:rsidRPr="009B5BE1" w:rsidRDefault="009B5BE1" w:rsidP="00F0586F">
            <w:pPr>
              <w:pStyle w:val="OiaeaeiYiio2"/>
              <w:widowControl/>
              <w:tabs>
                <w:tab w:val="left" w:pos="2892"/>
              </w:tabs>
              <w:jc w:val="left"/>
              <w:rPr>
                <w:i w:val="0"/>
                <w:sz w:val="24"/>
                <w:szCs w:val="24"/>
                <w:lang w:val="hr-HR"/>
              </w:rPr>
            </w:pPr>
            <w:r>
              <w:rPr>
                <w:i w:val="0"/>
                <w:sz w:val="24"/>
                <w:szCs w:val="24"/>
                <w:lang w:val="hr-HR"/>
              </w:rPr>
              <w:t>ROMA, ITALY</w:t>
            </w:r>
          </w:p>
        </w:tc>
      </w:tr>
      <w:tr w:rsidR="00383FC4" w:rsidRPr="00F0586F" w:rsidTr="00F0586F">
        <w:tc>
          <w:tcPr>
            <w:tcW w:w="4644" w:type="dxa"/>
          </w:tcPr>
          <w:p w:rsidR="00383FC4" w:rsidRPr="009B5BE1" w:rsidRDefault="00383FC4" w:rsidP="00F0586F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en-GB"/>
              </w:rPr>
            </w:pPr>
            <w:r w:rsidRPr="009B5BE1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  <w:vAlign w:val="center"/>
          </w:tcPr>
          <w:p w:rsidR="009B5BE1" w:rsidRPr="009B5BE1" w:rsidRDefault="009B5BE1" w:rsidP="009B5BE1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  <w:r w:rsidRPr="009E7F9E">
              <w:rPr>
                <w:rFonts w:ascii="Times New Roman" w:hAnsi="Times New Roman" w:cs="Times New Roman"/>
                <w:b/>
                <w:sz w:val="24"/>
                <w:szCs w:val="24"/>
              </w:rPr>
              <w:t>IRCCS San Raffaele Pisana</w:t>
            </w:r>
            <w:r w:rsidRPr="009B5BE1">
              <w:rPr>
                <w:rFonts w:ascii="Times New Roman" w:hAnsi="Times New Roman" w:cs="Times New Roman"/>
                <w:sz w:val="24"/>
                <w:szCs w:val="24"/>
              </w:rPr>
              <w:t>, Clinical and Molecular Epidemiology</w:t>
            </w:r>
          </w:p>
          <w:p w:rsidR="00383FC4" w:rsidRPr="009B5BE1" w:rsidRDefault="00383FC4" w:rsidP="00112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FC4" w:rsidRPr="00F0586F" w:rsidTr="009B5BE1">
        <w:tc>
          <w:tcPr>
            <w:tcW w:w="4644" w:type="dxa"/>
          </w:tcPr>
          <w:p w:rsidR="00383FC4" w:rsidRPr="00F0586F" w:rsidRDefault="00383FC4" w:rsidP="00F0586F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383FC4" w:rsidRPr="00F0586F" w:rsidRDefault="009B5BE1" w:rsidP="0009328E">
            <w:pPr>
              <w:pStyle w:val="OiaeaeiYiio2"/>
              <w:widowControl/>
              <w:jc w:val="both"/>
              <w:rPr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POSTDOC FELLOWSHIP</w:t>
            </w:r>
            <w:r>
              <w:rPr>
                <w:i w:val="0"/>
                <w:sz w:val="24"/>
                <w:szCs w:val="24"/>
                <w:lang w:val="hr-HR"/>
              </w:rPr>
              <w:t xml:space="preserve">, </w:t>
            </w:r>
            <w:r w:rsidR="0009328E">
              <w:rPr>
                <w:i w:val="0"/>
                <w:sz w:val="24"/>
                <w:szCs w:val="24"/>
                <w:lang w:val="hr-HR"/>
              </w:rPr>
              <w:t>automated micronucleus cytome assay and comet assay, snp polymorphisms</w:t>
            </w:r>
            <w:r w:rsidR="00630612">
              <w:rPr>
                <w:i w:val="0"/>
                <w:sz w:val="24"/>
                <w:szCs w:val="24"/>
                <w:lang w:val="hr-HR"/>
              </w:rPr>
              <w:t xml:space="preserve">, finding and developing new biomarkers (in toxicology) of exposure </w:t>
            </w:r>
            <w:r w:rsidR="00630612">
              <w:rPr>
                <w:i w:val="0"/>
                <w:sz w:val="24"/>
                <w:szCs w:val="24"/>
                <w:lang w:val="hr-HR"/>
              </w:rPr>
              <w:lastRenderedPageBreak/>
              <w:t>to asbestos, finding sensitive biomarkers of exposure to low doses of ionising radiation</w:t>
            </w:r>
            <w:r w:rsidR="00AF0FAD">
              <w:rPr>
                <w:i w:val="0"/>
                <w:sz w:val="24"/>
                <w:szCs w:val="24"/>
                <w:lang w:val="hr-HR"/>
              </w:rPr>
              <w:t>, validation and standardisation of human exfoliated buccal micronucleus assay</w:t>
            </w:r>
          </w:p>
        </w:tc>
      </w:tr>
      <w:tr w:rsidR="009B5BE1" w:rsidRPr="00F0586F" w:rsidTr="009B5BE1">
        <w:tc>
          <w:tcPr>
            <w:tcW w:w="4644" w:type="dxa"/>
          </w:tcPr>
          <w:p w:rsidR="009B5BE1" w:rsidRPr="00F0586F" w:rsidRDefault="009B5BE1" w:rsidP="00F740B4">
            <w:pPr>
              <w:pStyle w:val="OiaeaeiYiio2"/>
              <w:widowControl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lastRenderedPageBreak/>
              <w:t>Date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</w:tcBorders>
          </w:tcPr>
          <w:p w:rsidR="009B5BE1" w:rsidRPr="009E7F9E" w:rsidRDefault="009B5BE1" w:rsidP="00F740B4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16.7.2010</w:t>
            </w:r>
          </w:p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>ZAGREB</w:t>
            </w:r>
          </w:p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sz w:val="24"/>
                <w:szCs w:val="24"/>
              </w:rPr>
              <w:t>FACULTY OF SCIENCE</w:t>
            </w:r>
          </w:p>
          <w:p w:rsidR="00115A3E" w:rsidRPr="00115A3E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  <w:r w:rsidRPr="00115A3E">
              <w:rPr>
                <w:i w:val="0"/>
                <w:sz w:val="24"/>
                <w:szCs w:val="24"/>
                <w:lang w:val="hr-HR"/>
              </w:rPr>
              <w:t>PhD</w:t>
            </w:r>
            <w:r w:rsidR="00115A3E" w:rsidRPr="00115A3E">
              <w:rPr>
                <w:i w:val="0"/>
                <w:sz w:val="24"/>
                <w:szCs w:val="24"/>
                <w:lang w:val="hr-HR"/>
              </w:rPr>
              <w:t xml:space="preserve">; </w:t>
            </w:r>
          </w:p>
          <w:p w:rsidR="009B5BE1" w:rsidRPr="00F0586F" w:rsidRDefault="00115A3E" w:rsidP="009E7F9E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sz w:val="24"/>
                <w:szCs w:val="24"/>
                <w:u w:val="single"/>
              </w:rPr>
              <w:t>Ph. D. thesis</w:t>
            </w:r>
            <w:r w:rsidRPr="009E7F9E">
              <w:rPr>
                <w:b/>
                <w:sz w:val="24"/>
                <w:szCs w:val="24"/>
              </w:rPr>
              <w:t>:</w:t>
            </w:r>
            <w:r w:rsidRPr="00115A3E">
              <w:rPr>
                <w:sz w:val="24"/>
                <w:szCs w:val="24"/>
              </w:rPr>
              <w:t xml:space="preserve"> </w:t>
            </w:r>
            <w:r w:rsidRPr="00115A3E">
              <w:rPr>
                <w:rStyle w:val="Enfasicorsivo"/>
                <w:sz w:val="24"/>
                <w:szCs w:val="24"/>
              </w:rPr>
              <w:t xml:space="preserve">The significance of individual genome sensitivity in risk assessment of chronic professional exposure to low doses of ionising radiation, </w:t>
            </w:r>
            <w:r w:rsidRPr="00115A3E">
              <w:rPr>
                <w:sz w:val="24"/>
                <w:szCs w:val="24"/>
              </w:rPr>
              <w:t>Supervisor: Ružica Rozgaj, Ph. D.</w:t>
            </w:r>
          </w:p>
        </w:tc>
      </w:tr>
      <w:tr w:rsidR="009B5BE1" w:rsidRPr="00F0586F" w:rsidTr="00F740B4">
        <w:tc>
          <w:tcPr>
            <w:tcW w:w="4644" w:type="dxa"/>
          </w:tcPr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vMerge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</w:p>
        </w:tc>
      </w:tr>
      <w:tr w:rsidR="009B5BE1" w:rsidRPr="00F0586F" w:rsidTr="00F740B4">
        <w:tc>
          <w:tcPr>
            <w:tcW w:w="4644" w:type="dxa"/>
          </w:tcPr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vMerge/>
            <w:vAlign w:val="center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</w:p>
        </w:tc>
      </w:tr>
      <w:tr w:rsidR="009B5BE1" w:rsidRPr="00F0586F" w:rsidTr="00F740B4">
        <w:tc>
          <w:tcPr>
            <w:tcW w:w="4644" w:type="dxa"/>
          </w:tcPr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9E7F9E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2004.-2010.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9E7F9E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>ZAGREB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F0586F" w:rsidRDefault="009B5BE1" w:rsidP="009E7F9E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>FACULTY OF SCIENCE, INSTITUTE FOR MEDICAL RESEARCH AND OCCUPATIONAL HEALTH, MOLECULAR BIOLOGY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9C5C97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B5BE1" w:rsidRPr="009E7F9E" w:rsidRDefault="009B5BE1" w:rsidP="00F0586F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PhD STUDENT, ASSISTANT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9C5C97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9E7F9E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1998-2004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9C5C97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9E7F9E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>ZAGREB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9C5C97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9E7F9E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hr-HR"/>
              </w:rPr>
            </w:pPr>
            <w:r w:rsidRPr="00F0586F">
              <w:rPr>
                <w:i w:val="0"/>
                <w:sz w:val="24"/>
                <w:szCs w:val="24"/>
                <w:lang w:val="hr-HR"/>
              </w:rPr>
              <w:t xml:space="preserve">FACULTY OF SCIENCE, DIVISION OF BIOLOGY, </w:t>
            </w:r>
            <w:r w:rsidRPr="00F0586F">
              <w:rPr>
                <w:i w:val="0"/>
                <w:sz w:val="24"/>
                <w:szCs w:val="24"/>
              </w:rPr>
              <w:t>GRADUATE PROGRAMME OF MOLECULAR BIOLOGY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9C5C97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Title of qualification awarded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115A3E" w:rsidRPr="009E7F9E" w:rsidRDefault="009B5BE1" w:rsidP="009E7F9E">
            <w:pPr>
              <w:pStyle w:val="OiaeaeiYiio2"/>
              <w:widowControl/>
              <w:spacing w:before="20" w:after="20"/>
              <w:jc w:val="both"/>
              <w:rPr>
                <w:b/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sz w:val="24"/>
                <w:szCs w:val="24"/>
                <w:lang w:val="hr-HR"/>
              </w:rPr>
              <w:t>MOLECULAR BIOLOGIST</w:t>
            </w:r>
            <w:r w:rsidR="00115A3E" w:rsidRPr="009E7F9E">
              <w:rPr>
                <w:b/>
                <w:i w:val="0"/>
                <w:sz w:val="24"/>
                <w:szCs w:val="24"/>
                <w:lang w:val="hr-HR"/>
              </w:rPr>
              <w:t xml:space="preserve">; </w:t>
            </w:r>
          </w:p>
          <w:p w:rsidR="009B5BE1" w:rsidRPr="00F0586F" w:rsidRDefault="00115A3E" w:rsidP="009E7F9E">
            <w:pPr>
              <w:pStyle w:val="OiaeaeiYiio2"/>
              <w:widowControl/>
              <w:spacing w:before="20" w:after="20"/>
              <w:jc w:val="both"/>
              <w:rPr>
                <w:i w:val="0"/>
                <w:sz w:val="24"/>
                <w:szCs w:val="24"/>
                <w:lang w:val="hr-HR"/>
              </w:rPr>
            </w:pPr>
            <w:r w:rsidRPr="009E7F9E">
              <w:rPr>
                <w:b/>
                <w:sz w:val="24"/>
                <w:szCs w:val="24"/>
                <w:u w:val="single"/>
              </w:rPr>
              <w:t>B. Sc. thesis</w:t>
            </w:r>
            <w:r w:rsidRPr="009E7F9E">
              <w:rPr>
                <w:b/>
                <w:sz w:val="24"/>
                <w:szCs w:val="24"/>
              </w:rPr>
              <w:t>:</w:t>
            </w:r>
            <w:r w:rsidRPr="00115A3E">
              <w:rPr>
                <w:sz w:val="24"/>
                <w:szCs w:val="24"/>
              </w:rPr>
              <w:t xml:space="preserve"> </w:t>
            </w:r>
            <w:r w:rsidRPr="00115A3E">
              <w:rPr>
                <w:rStyle w:val="Enfasicorsivo"/>
                <w:sz w:val="24"/>
                <w:szCs w:val="24"/>
              </w:rPr>
              <w:t>Assessment of bleomycin and mitomycin C genotoxicity using the comet assay,</w:t>
            </w:r>
            <w:r w:rsidRPr="00115A3E">
              <w:rPr>
                <w:sz w:val="24"/>
                <w:szCs w:val="24"/>
              </w:rPr>
              <w:t xml:space="preserve"> Supervisor:  Nevenka Kopjar, Ph. D.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9D9D9"/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TRAINING  (CHRONOLOGICALLY)</w:t>
            </w:r>
          </w:p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F058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  <w:r w:rsidR="001A26EA" w:rsidRPr="009E7F9E">
              <w:rPr>
                <w:rFonts w:ascii="Times New Roman" w:hAnsi="Times New Roman"/>
                <w:b/>
                <w:sz w:val="24"/>
                <w:szCs w:val="24"/>
              </w:rPr>
              <w:t>, 2014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ROMA, ITALY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9E7F9E" w:rsidRDefault="00453DD2" w:rsidP="009B5BE1">
            <w:pPr>
              <w:pStyle w:val="Preformattato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 w:cs="Times New Roman"/>
                <w:b/>
                <w:sz w:val="24"/>
                <w:szCs w:val="24"/>
              </w:rPr>
              <w:t>IRCCS SAN RAFFAELE PISANA, CLINICAL AND MOLECULAR EPIDEMIOLOGY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AF0FAD" w:rsidRPr="00F0586F" w:rsidRDefault="00630612" w:rsidP="009E7F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automated micronucleus assay, comet assay, γh2ax comet assay, snp polymorphisms, discovering biomarkers for: alcoholics and head and neck cancer patients, people exposed to asbestos and with asbestosis, people exposed to low doses of ionising radiation, finding good biomarkers for migraine diagnosis</w:t>
            </w:r>
            <w:r w:rsidR="00AF0FAD" w:rsidRPr="009E7F9E">
              <w:rPr>
                <w:rFonts w:ascii="Times New Roman" w:hAnsi="Times New Roman"/>
                <w:b/>
                <w:sz w:val="24"/>
                <w:szCs w:val="24"/>
              </w:rPr>
              <w:t>, oxidative stress in COPD patients, validation and standardisation of micronucleus assay on human exfoliated</w:t>
            </w:r>
            <w:r w:rsidR="00AF0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FAD" w:rsidRPr="009E7F9E">
              <w:rPr>
                <w:rFonts w:ascii="Times New Roman" w:hAnsi="Times New Roman"/>
                <w:b/>
                <w:sz w:val="24"/>
                <w:szCs w:val="24"/>
              </w:rPr>
              <w:t>buccal cells</w:t>
            </w:r>
          </w:p>
        </w:tc>
      </w:tr>
      <w:tr w:rsidR="009B5BE1" w:rsidRPr="00F0586F" w:rsidTr="00F740B4">
        <w:tc>
          <w:tcPr>
            <w:tcW w:w="4644" w:type="dxa"/>
          </w:tcPr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lastRenderedPageBreak/>
              <w:t>Year</w:t>
            </w:r>
          </w:p>
        </w:tc>
        <w:tc>
          <w:tcPr>
            <w:tcW w:w="4644" w:type="dxa"/>
            <w:vMerge w:val="restart"/>
            <w:tcBorders>
              <w:top w:val="nil"/>
            </w:tcBorders>
          </w:tcPr>
          <w:p w:rsidR="00DA73FB" w:rsidRPr="009E7F9E" w:rsidRDefault="009B5BE1" w:rsidP="00DA73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2012.</w:t>
            </w:r>
          </w:p>
          <w:p w:rsidR="009B5BE1" w:rsidRPr="00F0586F" w:rsidRDefault="009B5BE1" w:rsidP="00DA73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KEMER, ANTALYA, TURKEY</w:t>
            </w:r>
          </w:p>
          <w:p w:rsidR="009B5BE1" w:rsidRPr="009E7F9E" w:rsidRDefault="009B5BE1" w:rsidP="00DA73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NANOLINEN, NEW INDIGO, NANOSAFETY CONGRESS-TURKEY</w:t>
            </w:r>
          </w:p>
          <w:p w:rsidR="009B5BE1" w:rsidRDefault="009B5BE1" w:rsidP="00DA73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WORKSHOP IN THE SAFETY ASSESSMENT OF NANOMATERIALS:NEW PARADIGMS; </w:t>
            </w:r>
          </w:p>
          <w:p w:rsidR="009B5BE1" w:rsidRPr="009E7F9E" w:rsidRDefault="009B5BE1" w:rsidP="00DA73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WORKSHOP ON GENOTOXICITY TESTS TO ASSESS HUMAN GENOTOXICITY</w:t>
            </w:r>
          </w:p>
        </w:tc>
      </w:tr>
      <w:tr w:rsidR="009B5BE1" w:rsidRPr="00F0586F" w:rsidTr="00F740B4">
        <w:tc>
          <w:tcPr>
            <w:tcW w:w="4644" w:type="dxa"/>
          </w:tcPr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vMerge/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E1" w:rsidRPr="00F0586F" w:rsidTr="00F740B4">
        <w:tc>
          <w:tcPr>
            <w:tcW w:w="4644" w:type="dxa"/>
          </w:tcPr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vMerge/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E1" w:rsidRPr="00F0586F" w:rsidTr="00F740B4">
        <w:tc>
          <w:tcPr>
            <w:tcW w:w="4644" w:type="dxa"/>
          </w:tcPr>
          <w:p w:rsidR="009B5BE1" w:rsidRPr="00F0586F" w:rsidRDefault="009B5BE1" w:rsidP="00F740B4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E65A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E7F9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Pr="009E7F9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 xml:space="preserve"> of July 2011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E65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>ZAGREB, CROATIA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9E7F9E" w:rsidRDefault="009B5BE1" w:rsidP="00E65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SYSTEMCOM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E857E7" w:rsidRPr="009E7F9E" w:rsidRDefault="009B5BE1" w:rsidP="00453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STATISTICA ADVANCED COURSE OF STATSOFT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E65A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Pr="009E7F9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 xml:space="preserve"> of June-1</w:t>
            </w:r>
            <w:r w:rsidRPr="009E7F9E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st</w:t>
            </w: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 xml:space="preserve"> of July 2011 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E65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>BELGRADE, SERBIA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9E7F9E" w:rsidRDefault="009B5BE1" w:rsidP="00E65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UNIVERSITY OF  BELGRADE, FACULTY OF PHARMACY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9E7F9E" w:rsidRDefault="009B5BE1" w:rsidP="00E65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EUROTOX BASIC TOXICOLOGY COURSE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869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>2009.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E65AD3">
            <w:pPr>
              <w:pStyle w:val="OiaeaeiYiio2"/>
              <w:widowControl/>
              <w:spacing w:before="20" w:after="20"/>
              <w:jc w:val="left"/>
              <w:rPr>
                <w:i w:val="0"/>
                <w:caps/>
                <w:sz w:val="24"/>
                <w:szCs w:val="24"/>
                <w:lang w:val="hr-HR"/>
              </w:rPr>
            </w:pPr>
            <w:r w:rsidRPr="00F0586F">
              <w:rPr>
                <w:i w:val="0"/>
                <w:caps/>
                <w:sz w:val="24"/>
                <w:szCs w:val="24"/>
                <w:lang w:val="hr-HR"/>
              </w:rPr>
              <w:t>Perugia, Italy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9E7F9E" w:rsidRDefault="009B5BE1" w:rsidP="00E65AD3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caps/>
                <w:sz w:val="24"/>
                <w:szCs w:val="24"/>
              </w:rPr>
              <w:t>University of Perugia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>8th International Comet assay Workshop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 xml:space="preserve">2009. 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i w:val="0"/>
                <w:caps/>
                <w:sz w:val="24"/>
                <w:szCs w:val="24"/>
                <w:lang w:val="hr-HR"/>
              </w:rPr>
            </w:pPr>
            <w:r w:rsidRPr="00F0586F">
              <w:rPr>
                <w:i w:val="0"/>
                <w:caps/>
                <w:sz w:val="24"/>
                <w:szCs w:val="24"/>
                <w:lang w:val="hr-HR"/>
              </w:rPr>
              <w:t>Bologna, Italy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>faculty of pharmacy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 xml:space="preserve">6 months of learning of snp polymorhism methods and dna isolation 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 xml:space="preserve">2008. 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i w:val="0"/>
                <w:caps/>
                <w:sz w:val="24"/>
                <w:szCs w:val="24"/>
                <w:lang w:val="hr-HR"/>
              </w:rPr>
            </w:pPr>
            <w:r w:rsidRPr="00F0586F">
              <w:rPr>
                <w:i w:val="0"/>
                <w:caps/>
                <w:sz w:val="24"/>
                <w:szCs w:val="24"/>
                <w:lang w:val="hr-HR"/>
              </w:rPr>
              <w:t>Utrecht, Netherland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</w:rPr>
              <w:t>IRAS  (Institute for Risk Assessment Sciences)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</w:rPr>
              <w:t>The Course on Molecular Epidemiology of Chronic Diseases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644" w:type="dxa"/>
            <w:tcBorders>
              <w:bottom w:val="nil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>2006.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 xml:space="preserve">Place 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F0586F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i w:val="0"/>
                <w:caps/>
                <w:sz w:val="24"/>
                <w:szCs w:val="24"/>
                <w:lang w:val="hr-HR"/>
              </w:rPr>
            </w:pPr>
            <w:r w:rsidRPr="00F0586F">
              <w:rPr>
                <w:i w:val="0"/>
                <w:caps/>
                <w:sz w:val="24"/>
                <w:szCs w:val="24"/>
              </w:rPr>
              <w:t>Tekirova, Antalya, Turkey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</w:rPr>
              <w:t>The IXth International Workshop on Radiation Damage to DNA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F0586F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>Genotoxicology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E65AD3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Year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  <w:lang w:val="hr-HR"/>
              </w:rPr>
              <w:t>2005.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E65AD3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lastRenderedPageBreak/>
              <w:t xml:space="preserve">Place 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F0586F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i w:val="0"/>
                <w:caps/>
                <w:sz w:val="24"/>
                <w:szCs w:val="24"/>
                <w:lang w:val="hr-HR"/>
              </w:rPr>
            </w:pPr>
            <w:r w:rsidRPr="00F0586F">
              <w:rPr>
                <w:i w:val="0"/>
                <w:caps/>
                <w:sz w:val="24"/>
                <w:szCs w:val="24"/>
              </w:rPr>
              <w:t>Cracow, Poland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E65AD3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9E7F9E" w:rsidRDefault="009B5BE1" w:rsidP="00E65AD3">
            <w:pPr>
              <w:pStyle w:val="OiaeaeiYiio2"/>
              <w:widowControl/>
              <w:tabs>
                <w:tab w:val="left" w:pos="2232"/>
              </w:tabs>
              <w:spacing w:before="20" w:after="20"/>
              <w:jc w:val="left"/>
              <w:rPr>
                <w:b/>
                <w:i w:val="0"/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i w:val="0"/>
                <w:caps/>
                <w:sz w:val="24"/>
                <w:szCs w:val="24"/>
              </w:rPr>
              <w:t xml:space="preserve">EUROTOX 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E65AD3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n-GB"/>
              </w:rPr>
            </w:pPr>
            <w:r w:rsidRPr="00F0586F">
              <w:rPr>
                <w:i w:val="0"/>
                <w:sz w:val="24"/>
                <w:szCs w:val="24"/>
                <w:lang w:val="en-GB"/>
              </w:rPr>
              <w:t>Subject and skills covered</w:t>
            </w:r>
          </w:p>
        </w:tc>
        <w:tc>
          <w:tcPr>
            <w:tcW w:w="4644" w:type="dxa"/>
            <w:tcBorders>
              <w:top w:val="nil"/>
              <w:bottom w:val="single" w:sz="4" w:space="0" w:color="auto"/>
            </w:tcBorders>
          </w:tcPr>
          <w:p w:rsidR="009B5BE1" w:rsidRPr="009E7F9E" w:rsidRDefault="009B5BE1" w:rsidP="00E65A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7F9E">
              <w:rPr>
                <w:rFonts w:ascii="Times New Roman" w:hAnsi="Times New Roman"/>
                <w:b/>
                <w:caps/>
                <w:sz w:val="24"/>
                <w:szCs w:val="24"/>
              </w:rPr>
              <w:t>Continuing Education Course: ˝High Throughput Assays in Toxicological Testing˝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9D9D9"/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LANGUAGES</w:t>
            </w:r>
          </w:p>
          <w:p w:rsidR="00E857E7" w:rsidRPr="00F0586F" w:rsidRDefault="00E857E7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Mother tongue</w:t>
            </w:r>
          </w:p>
        </w:tc>
        <w:tc>
          <w:tcPr>
            <w:tcW w:w="4644" w:type="dxa"/>
          </w:tcPr>
          <w:p w:rsidR="009B5BE1" w:rsidRPr="00F0586F" w:rsidRDefault="009B5BE1" w:rsidP="00F0586F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CROATIAN</w:t>
            </w:r>
          </w:p>
        </w:tc>
      </w:tr>
      <w:tr w:rsidR="009B5BE1" w:rsidRPr="00F0586F" w:rsidTr="00F0586F">
        <w:tc>
          <w:tcPr>
            <w:tcW w:w="9288" w:type="dxa"/>
            <w:gridSpan w:val="2"/>
          </w:tcPr>
          <w:p w:rsidR="009B5BE1" w:rsidRPr="00F0586F" w:rsidRDefault="009B5BE1" w:rsidP="00F0586F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English language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4644" w:type="dxa"/>
          </w:tcPr>
          <w:p w:rsidR="009B5BE1" w:rsidRPr="00F0586F" w:rsidRDefault="009B5BE1" w:rsidP="00F0586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4644" w:type="dxa"/>
          </w:tcPr>
          <w:p w:rsidR="009B5BE1" w:rsidRPr="00F0586F" w:rsidRDefault="009B5BE1" w:rsidP="00F0586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Reading </w:t>
            </w:r>
          </w:p>
        </w:tc>
        <w:tc>
          <w:tcPr>
            <w:tcW w:w="4644" w:type="dxa"/>
          </w:tcPr>
          <w:p w:rsidR="009B5BE1" w:rsidRPr="00F0586F" w:rsidRDefault="009B5BE1" w:rsidP="00F0586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</w:tr>
      <w:tr w:rsidR="009B5BE1" w:rsidRPr="00F0586F" w:rsidTr="00F0586F">
        <w:tc>
          <w:tcPr>
            <w:tcW w:w="9288" w:type="dxa"/>
            <w:gridSpan w:val="2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German language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4644" w:type="dxa"/>
          </w:tcPr>
          <w:p w:rsidR="009B5BE1" w:rsidRPr="00F0586F" w:rsidRDefault="009B5BE1" w:rsidP="00F0586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4644" w:type="dxa"/>
          </w:tcPr>
          <w:p w:rsidR="009B5BE1" w:rsidRPr="00F0586F" w:rsidRDefault="009B5BE1" w:rsidP="00F0586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Reading </w:t>
            </w:r>
          </w:p>
        </w:tc>
        <w:tc>
          <w:tcPr>
            <w:tcW w:w="4644" w:type="dxa"/>
          </w:tcPr>
          <w:p w:rsidR="009B5BE1" w:rsidRPr="00F0586F" w:rsidRDefault="009B5BE1" w:rsidP="00F0586F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YES</w:t>
            </w:r>
          </w:p>
        </w:tc>
      </w:tr>
      <w:tr w:rsidR="009B5BE1" w:rsidRPr="00F0586F" w:rsidTr="00F0586F">
        <w:tc>
          <w:tcPr>
            <w:tcW w:w="9288" w:type="dxa"/>
            <w:gridSpan w:val="2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Italian language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4644" w:type="dxa"/>
          </w:tcPr>
          <w:p w:rsidR="009B5BE1" w:rsidRPr="00F0586F" w:rsidRDefault="00630612" w:rsidP="006306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NOT SO GOOD </w:t>
            </w:r>
          </w:p>
        </w:tc>
      </w:tr>
      <w:tr w:rsidR="009B5BE1" w:rsidRPr="00F0586F" w:rsidTr="00F0586F"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4644" w:type="dxa"/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9B5BE1" w:rsidRPr="00F0586F" w:rsidTr="00F0586F"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Reading 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>NOT SO GOOD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9D9D9"/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RESEARCH AND OTHER PROJECTS</w:t>
            </w:r>
          </w:p>
          <w:p w:rsidR="00E857E7" w:rsidRPr="00F0586F" w:rsidRDefault="00E857E7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09328E" w:rsidRDefault="009B5BE1" w:rsidP="0009328E">
            <w:pPr>
              <w:pStyle w:val="Eaoaeaa"/>
              <w:widowControl/>
              <w:spacing w:after="240" w:line="276" w:lineRule="auto"/>
              <w:jc w:val="both"/>
              <w:rPr>
                <w:sz w:val="24"/>
                <w:szCs w:val="24"/>
                <w:lang w:val="hr-HR"/>
              </w:rPr>
            </w:pPr>
            <w:r w:rsidRPr="009E7F9E">
              <w:rPr>
                <w:b/>
                <w:sz w:val="24"/>
                <w:szCs w:val="24"/>
                <w:lang w:val="hr-HR"/>
              </w:rPr>
              <w:t>SCI. ASSOC</w:t>
            </w:r>
            <w:r w:rsidRPr="00AF0FAD">
              <w:rPr>
                <w:sz w:val="24"/>
                <w:szCs w:val="24"/>
                <w:lang w:val="hr-HR"/>
              </w:rPr>
              <w:t xml:space="preserve">. AT THE INSTITUTE FOR MEDICAL RESEARCH AND </w:t>
            </w:r>
            <w:r w:rsidRPr="0009328E">
              <w:rPr>
                <w:sz w:val="24"/>
                <w:szCs w:val="24"/>
                <w:lang w:val="hr-HR"/>
              </w:rPr>
              <w:t xml:space="preserve">OCCUPATIONAL HEALTH  FOR THE FIELD OF GENOTOXICOLOGY AND GENETIC BIOMONITORING </w:t>
            </w:r>
          </w:p>
          <w:p w:rsidR="0009328E" w:rsidRPr="0009328E" w:rsidRDefault="0009328E" w:rsidP="0009328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9328E">
              <w:rPr>
                <w:rFonts w:ascii="Times New Roman" w:hAnsi="Times New Roman"/>
                <w:sz w:val="24"/>
                <w:szCs w:val="24"/>
              </w:rPr>
              <w:t>INVESTIGATOR ON THE PROJECT OF V.KASUBA,PhD:</w:t>
            </w:r>
            <w:r w:rsidRPr="000932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Grant of  </w:t>
            </w:r>
            <w:r w:rsidRPr="0009328E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it-IT"/>
              </w:rPr>
              <w:t>Ministry of Science, Education And Sports Of The Republic Of Croatia No.</w:t>
            </w:r>
            <w:r w:rsidRPr="000932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022-0222148-2137 </w:t>
            </w:r>
            <w:r w:rsidRPr="000932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Genotoxicity of chemical and physical agents of natural and anthropogenic origin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(2007-2014)</w:t>
            </w:r>
          </w:p>
          <w:p w:rsidR="00AF0FAD" w:rsidRPr="00AF0FAD" w:rsidRDefault="00AF0FAD" w:rsidP="000932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 w:rsidRPr="00AF0FAD">
              <w:rPr>
                <w:rFonts w:ascii="Times New Roman" w:hAnsi="Times New Roman"/>
                <w:sz w:val="24"/>
                <w:szCs w:val="24"/>
              </w:rPr>
              <w:t>INVESTIGATOR IN THE INAL PROJECT</w:t>
            </w:r>
            <w:r w:rsidR="0009328E">
              <w:rPr>
                <w:rFonts w:ascii="Times New Roman" w:hAnsi="Times New Roman"/>
                <w:sz w:val="24"/>
                <w:szCs w:val="24"/>
              </w:rPr>
              <w:t xml:space="preserve"> (2013,2014)</w:t>
            </w:r>
            <w:r w:rsidRPr="00AF0FA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F0FAD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Valutazione di biomarker di instabilità genetica, danno ossidativo e lesioni precoci in sangue, cellule esfoliate dalla mucosa boccale ed esalato bronchiale di lavoratori a rischio-amianto</w:t>
            </w:r>
          </w:p>
          <w:p w:rsidR="00630612" w:rsidRPr="00AF0FAD" w:rsidRDefault="00AF0FAD" w:rsidP="0009328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0F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INVESTIGATOR ON THE </w:t>
            </w:r>
            <w:r w:rsidRPr="00AF0F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AIRC</w:t>
            </w:r>
            <w:r w:rsidRPr="00AF0FA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PROJECT</w:t>
            </w:r>
            <w:r w:rsidR="000932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(2014)</w:t>
            </w:r>
            <w:r w:rsidRPr="00AF0FA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AF0FAD">
              <w:rPr>
                <w:rFonts w:ascii="Times New Roman" w:hAnsi="Times New Roman"/>
                <w:sz w:val="24"/>
                <w:szCs w:val="24"/>
                <w:lang w:val="en-US" w:eastAsia="hr-HR"/>
              </w:rPr>
              <w:t xml:space="preserve">Associazione Italiana per la Ricerca sul Cancro): </w:t>
            </w:r>
            <w:r w:rsidRPr="00AF0FAD">
              <w:rPr>
                <w:rFonts w:ascii="Times New Roman" w:eastAsia="ArialUnicodeMS" w:hAnsi="Times New Roman"/>
                <w:b/>
                <w:sz w:val="24"/>
                <w:szCs w:val="24"/>
                <w:lang w:val="en-US" w:eastAsia="hr-HR"/>
              </w:rPr>
              <w:t>Micronucleus assay in buccal exfoliated cells to measure DNA damage and predict cancer in healthy subjects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F0586F" w:rsidRDefault="009B5BE1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PhD STUDENT ON THE PROJECT OF V. KAŠUBA, PhD,  ˝ </w:t>
            </w:r>
            <w:r w:rsidRPr="00F0586F">
              <w:rPr>
                <w:rStyle w:val="Enfasigrassetto"/>
                <w:rFonts w:ascii="Times New Roman" w:hAnsi="Times New Roman"/>
                <w:b w:val="0"/>
                <w:sz w:val="24"/>
                <w:szCs w:val="24"/>
              </w:rPr>
              <w:t>GENOTOXICITY OF CHEMICAL AND PHYSICAL AGENTS OF NATURAL AND ANTHROPOGENIC ORIGIN˝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9D9D9"/>
          </w:tcPr>
          <w:p w:rsidR="009B5BE1" w:rsidRPr="00F0586F" w:rsidRDefault="009B5BE1" w:rsidP="00AF0FAD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lastRenderedPageBreak/>
              <w:t xml:space="preserve">MENTORSHIP OF DEFENDED DOCTORAL AND MASTER DISSERTATIONS </w:t>
            </w:r>
          </w:p>
          <w:p w:rsidR="009B5BE1" w:rsidRPr="00F0586F" w:rsidRDefault="009B5BE1" w:rsidP="00AF0FAD">
            <w:pPr>
              <w:spacing w:after="0" w:line="240" w:lineRule="auto"/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AND TRAINING OF YOUNG RESEARCHERS AND SCIENTISTS </w:t>
            </w: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br/>
              <w:t>(CHRONOLOGICALLY)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E857E7" w:rsidRDefault="00E857E7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AD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FAD" w:rsidRPr="00AF0FAD">
              <w:rPr>
                <w:rFonts w:ascii="Times New Roman" w:hAnsi="Times New Roman"/>
                <w:b/>
                <w:sz w:val="24"/>
                <w:szCs w:val="24"/>
              </w:rPr>
              <w:t>co-mentor</w:t>
            </w:r>
            <w:r w:rsidR="00AF0FAD" w:rsidRPr="00F0586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AF0FAD" w:rsidRPr="00AF0FAD">
              <w:rPr>
                <w:rFonts w:ascii="Times New Roman" w:hAnsi="Times New Roman"/>
                <w:b/>
                <w:sz w:val="24"/>
                <w:szCs w:val="24"/>
              </w:rPr>
              <w:t>master disertation</w:t>
            </w:r>
            <w:r w:rsidR="00AF0FAD">
              <w:rPr>
                <w:rFonts w:ascii="Times New Roman" w:hAnsi="Times New Roman"/>
                <w:sz w:val="24"/>
                <w:szCs w:val="24"/>
              </w:rPr>
              <w:t xml:space="preserve"> of the student from  F</w:t>
            </w:r>
            <w:r w:rsidR="00AF0FAD" w:rsidRPr="00F0586F">
              <w:rPr>
                <w:rFonts w:ascii="Times New Roman" w:hAnsi="Times New Roman"/>
                <w:sz w:val="24"/>
                <w:szCs w:val="24"/>
              </w:rPr>
              <w:t>aculty</w:t>
            </w:r>
            <w:r w:rsidR="00AF0FAD">
              <w:rPr>
                <w:rFonts w:ascii="Times New Roman" w:hAnsi="Times New Roman"/>
                <w:sz w:val="24"/>
                <w:szCs w:val="24"/>
              </w:rPr>
              <w:t xml:space="preserve"> of Science, Department of Biology (Sanja Halovanić, ˝The combined effect of anaesthetic sevoflurane and ionising radiation on primary DNA damage in mice˝)</w:t>
            </w:r>
          </w:p>
          <w:p w:rsidR="00E857E7" w:rsidRDefault="00E857E7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AD">
              <w:rPr>
                <w:rFonts w:ascii="Times New Roman" w:hAnsi="Times New Roman"/>
                <w:b/>
                <w:sz w:val="24"/>
                <w:szCs w:val="24"/>
              </w:rPr>
              <w:t xml:space="preserve">2012.- </w:t>
            </w:r>
            <w:r w:rsidR="00AF0FAD" w:rsidRPr="00AF0FAD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  <w:r w:rsidR="00AF0FAD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AF0FAD" w:rsidRPr="00AF0FAD">
              <w:rPr>
                <w:rFonts w:ascii="Times New Roman" w:hAnsi="Times New Roman"/>
                <w:b/>
                <w:sz w:val="24"/>
                <w:szCs w:val="24"/>
              </w:rPr>
              <w:t>master disertation</w:t>
            </w:r>
            <w:r w:rsidR="00AF0FAD">
              <w:rPr>
                <w:rFonts w:ascii="Times New Roman" w:hAnsi="Times New Roman"/>
                <w:sz w:val="24"/>
                <w:szCs w:val="24"/>
              </w:rPr>
              <w:t xml:space="preserve"> from Faculty of Science, Department of Biology (Maja Heleš, ˝Assessment of primary DNA damage in blood and different organs in </w:t>
            </w:r>
            <w:r w:rsidR="009E7F9E">
              <w:rPr>
                <w:rFonts w:ascii="Times New Roman" w:hAnsi="Times New Roman"/>
                <w:sz w:val="24"/>
                <w:szCs w:val="24"/>
              </w:rPr>
              <w:t>S</w:t>
            </w:r>
            <w:r w:rsidR="00AF0FAD">
              <w:rPr>
                <w:rFonts w:ascii="Times New Roman" w:hAnsi="Times New Roman"/>
                <w:sz w:val="24"/>
                <w:szCs w:val="24"/>
              </w:rPr>
              <w:t>wiss albino mices after exposure to anesthetic sevoflurane˝)</w:t>
            </w:r>
          </w:p>
          <w:p w:rsidR="009B5BE1" w:rsidRDefault="00AF0FAD" w:rsidP="00F058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AD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>.-</w:t>
            </w:r>
            <w:r w:rsidRPr="00AF0FAD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AF0FAD">
              <w:rPr>
                <w:rFonts w:ascii="Times New Roman" w:hAnsi="Times New Roman"/>
                <w:b/>
                <w:sz w:val="24"/>
                <w:szCs w:val="24"/>
              </w:rPr>
              <w:t>master disertation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Faculty of Science, Department of Biology (Željka Modrić, ˝Assessment of primary DNA damage in blood and different organs in </w:t>
            </w:r>
            <w:r w:rsidR="009E7F9E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wiss albino mices after exposure to ionising radiation˝)</w:t>
            </w:r>
          </w:p>
          <w:p w:rsidR="009B5BE1" w:rsidRPr="00F0586F" w:rsidRDefault="00AF0FAD" w:rsidP="009E7F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FAD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co-mentor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9E7F9E">
              <w:rPr>
                <w:rFonts w:ascii="Times New Roman" w:hAnsi="Times New Roman"/>
                <w:b/>
                <w:sz w:val="24"/>
                <w:szCs w:val="24"/>
              </w:rPr>
              <w:t>master disertation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of the student from  </w:t>
            </w:r>
            <w:r w:rsidR="009E7F9E">
              <w:rPr>
                <w:rFonts w:ascii="Times New Roman" w:hAnsi="Times New Roman"/>
                <w:sz w:val="24"/>
                <w:szCs w:val="24"/>
              </w:rPr>
              <w:t>F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aculty of pharmacy and biochemistry (</w:t>
            </w:r>
            <w:r w:rsidR="009E7F9E">
              <w:rPr>
                <w:rFonts w:ascii="Times New Roman" w:hAnsi="Times New Roman"/>
                <w:sz w:val="24"/>
                <w:szCs w:val="24"/>
              </w:rPr>
              <w:t>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aja </w:t>
            </w:r>
            <w:r w:rsidR="009E7F9E">
              <w:rPr>
                <w:rFonts w:ascii="Times New Roman" w:hAnsi="Times New Roman"/>
                <w:sz w:val="24"/>
                <w:szCs w:val="24"/>
              </w:rPr>
              <w:t>K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išan, ˝</w:t>
            </w:r>
            <w:r w:rsidR="009E7F9E">
              <w:rPr>
                <w:rFonts w:ascii="Times New Roman" w:hAnsi="Times New Roman"/>
                <w:sz w:val="24"/>
                <w:szCs w:val="24"/>
              </w:rPr>
              <w:t>O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xidative damage of </w:t>
            </w:r>
            <w:r w:rsidR="009E7F9E" w:rsidRPr="00F0586F">
              <w:rPr>
                <w:rFonts w:ascii="Times New Roman" w:hAnsi="Times New Roman"/>
                <w:sz w:val="24"/>
                <w:szCs w:val="24"/>
              </w:rPr>
              <w:t>DNA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in metabolic syndrome˝)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9D9D9"/>
          </w:tcPr>
          <w:p w:rsidR="009B5BE1" w:rsidRPr="00F0586F" w:rsidRDefault="009B5BE1" w:rsidP="00453DD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VISITS TO FOREIGN RESEARCH AND EDUCATION INSTITUTIONS</w:t>
            </w:r>
          </w:p>
          <w:p w:rsidR="009B5BE1" w:rsidRDefault="009B5BE1" w:rsidP="00453D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(CHRONOLOGICALLY; ONLY VISITS LONGER THAN 3 MONTHS)</w:t>
            </w:r>
          </w:p>
          <w:p w:rsidR="00453DD2" w:rsidRPr="00F0586F" w:rsidRDefault="00453DD2" w:rsidP="00453DD2">
            <w:pPr>
              <w:spacing w:after="0" w:line="240" w:lineRule="auto"/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53DD2" w:rsidRDefault="00453DD2" w:rsidP="00453DD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BE1">
              <w:rPr>
                <w:rFonts w:ascii="Times New Roman" w:hAnsi="Times New Roman"/>
                <w:sz w:val="24"/>
                <w:szCs w:val="24"/>
              </w:rPr>
              <w:t xml:space="preserve">IRCCS SAN RAFFAELE PISANA, </w:t>
            </w:r>
            <w:r w:rsidR="009E7F9E" w:rsidRPr="009B5BE1">
              <w:rPr>
                <w:rFonts w:ascii="Times New Roman" w:hAnsi="Times New Roman"/>
                <w:sz w:val="24"/>
                <w:szCs w:val="24"/>
              </w:rPr>
              <w:t>Clinical And Molecular Epidemiology</w:t>
            </w:r>
            <w:r w:rsidR="009E7F9E">
              <w:rPr>
                <w:rFonts w:ascii="Times New Roman" w:hAnsi="Times New Roman"/>
                <w:sz w:val="24"/>
                <w:szCs w:val="24"/>
              </w:rPr>
              <w:t>, Roma, Italy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(1.3.2013-</w:t>
            </w:r>
            <w:r w:rsidR="009E7F9E">
              <w:rPr>
                <w:rFonts w:ascii="Times New Roman" w:hAnsi="Times New Roman"/>
                <w:sz w:val="24"/>
                <w:szCs w:val="24"/>
              </w:rPr>
              <w:t>31.12.2014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B5BE1" w:rsidRPr="00F0586F" w:rsidRDefault="009E7F9E" w:rsidP="009E7F9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Faculty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f Pharmacy, Bologna, Italy</w:t>
            </w:r>
            <w:r w:rsidR="009B5BE1" w:rsidRPr="00F0586F">
              <w:rPr>
                <w:rFonts w:ascii="Times New Roman" w:hAnsi="Times New Roman"/>
                <w:sz w:val="24"/>
                <w:szCs w:val="24"/>
              </w:rPr>
              <w:t>, (21.2. - 30.8. 2009.)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9D9D9"/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ORGANIZATIONAL SKILLS AND COMPETENCES (CHRONOLOGICALLY; ORGANIZATION OF HOME AND INTERNATIONAL SCIENCE EVENTS )</w:t>
            </w:r>
          </w:p>
          <w:p w:rsidR="00453DD2" w:rsidRPr="00F0586F" w:rsidRDefault="00453DD2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</w:tcPr>
          <w:p w:rsidR="009B5BE1" w:rsidRDefault="009B5BE1" w:rsidP="00F0586F">
            <w:pPr>
              <w:pStyle w:val="Eaoaeaa"/>
              <w:widowControl/>
              <w:spacing w:before="20" w:after="20"/>
              <w:rPr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caps/>
                <w:sz w:val="24"/>
                <w:szCs w:val="24"/>
                <w:lang w:val="hr-HR"/>
              </w:rPr>
              <w:t>2013</w:t>
            </w:r>
            <w:r w:rsidR="009E7F9E">
              <w:rPr>
                <w:b/>
                <w:caps/>
                <w:sz w:val="24"/>
                <w:szCs w:val="24"/>
                <w:lang w:val="hr-HR"/>
              </w:rPr>
              <w:t>.</w:t>
            </w:r>
            <w:r>
              <w:rPr>
                <w:caps/>
                <w:sz w:val="24"/>
                <w:szCs w:val="24"/>
                <w:lang w:val="hr-HR"/>
              </w:rPr>
              <w:t>-</w:t>
            </w:r>
            <w:r w:rsidRPr="00F0586F">
              <w:rPr>
                <w:caps/>
                <w:sz w:val="24"/>
                <w:szCs w:val="24"/>
                <w:lang w:val="hr-HR"/>
              </w:rPr>
              <w:t xml:space="preserve"> </w:t>
            </w:r>
            <w:r w:rsidR="009E7F9E" w:rsidRPr="00F0586F">
              <w:rPr>
                <w:sz w:val="24"/>
                <w:szCs w:val="24"/>
                <w:lang w:val="hr-HR"/>
              </w:rPr>
              <w:t xml:space="preserve">member of </w:t>
            </w:r>
            <w:r w:rsidR="009E7F9E" w:rsidRPr="009E7F9E">
              <w:rPr>
                <w:b/>
                <w:sz w:val="24"/>
                <w:szCs w:val="24"/>
                <w:lang w:val="hr-HR"/>
              </w:rPr>
              <w:t>Organising Committee</w:t>
            </w:r>
            <w:r w:rsidR="009E7F9E" w:rsidRPr="00F0586F">
              <w:rPr>
                <w:sz w:val="24"/>
                <w:szCs w:val="24"/>
                <w:lang w:val="hr-HR"/>
              </w:rPr>
              <w:t xml:space="preserve"> of </w:t>
            </w:r>
            <w:r w:rsidR="009E7F9E" w:rsidRPr="009E7F9E">
              <w:rPr>
                <w:b/>
                <w:sz w:val="24"/>
                <w:szCs w:val="24"/>
                <w:lang w:val="hr-HR"/>
              </w:rPr>
              <w:t>Ninth Symposium Of The Crpa</w:t>
            </w:r>
            <w:r w:rsidR="009E7F9E" w:rsidRPr="00F0586F">
              <w:rPr>
                <w:sz w:val="24"/>
                <w:szCs w:val="24"/>
                <w:lang w:val="hr-HR"/>
              </w:rPr>
              <w:t xml:space="preserve"> (</w:t>
            </w:r>
            <w:r w:rsidR="009E7F9E" w:rsidRPr="00F0586F">
              <w:rPr>
                <w:sz w:val="24"/>
                <w:szCs w:val="24"/>
              </w:rPr>
              <w:t>Croatian R</w:t>
            </w:r>
            <w:r w:rsidR="009E7F9E">
              <w:rPr>
                <w:sz w:val="24"/>
                <w:szCs w:val="24"/>
              </w:rPr>
              <w:t>adiation Protection Association</w:t>
            </w:r>
            <w:r w:rsidR="009E7F9E" w:rsidRPr="00F0586F">
              <w:rPr>
                <w:sz w:val="24"/>
                <w:szCs w:val="24"/>
              </w:rPr>
              <w:t>)</w:t>
            </w:r>
            <w:r w:rsidR="009E7F9E">
              <w:rPr>
                <w:sz w:val="24"/>
                <w:szCs w:val="24"/>
              </w:rPr>
              <w:t xml:space="preserve"> </w:t>
            </w:r>
            <w:r w:rsidR="009E7F9E" w:rsidRPr="00F0586F">
              <w:rPr>
                <w:sz w:val="24"/>
                <w:szCs w:val="24"/>
                <w:lang w:val="hr-HR"/>
              </w:rPr>
              <w:t>with international participation</w:t>
            </w:r>
          </w:p>
          <w:p w:rsidR="009B5BE1" w:rsidRDefault="009E7F9E" w:rsidP="00F0586F">
            <w:pPr>
              <w:pStyle w:val="Eaoaeaa"/>
              <w:widowControl/>
              <w:spacing w:before="20" w:after="20"/>
              <w:rPr>
                <w:sz w:val="24"/>
                <w:szCs w:val="24"/>
                <w:lang w:val="hr-HR"/>
              </w:rPr>
            </w:pPr>
            <w:r w:rsidRPr="009E7F9E">
              <w:rPr>
                <w:b/>
                <w:sz w:val="24"/>
                <w:szCs w:val="24"/>
                <w:lang w:val="hr-HR"/>
              </w:rPr>
              <w:t>2012.-</w:t>
            </w:r>
            <w:r>
              <w:rPr>
                <w:sz w:val="24"/>
                <w:szCs w:val="24"/>
                <w:lang w:val="hr-HR"/>
              </w:rPr>
              <w:t xml:space="preserve"> </w:t>
            </w:r>
            <w:r w:rsidRPr="00F0586F">
              <w:rPr>
                <w:sz w:val="24"/>
                <w:szCs w:val="24"/>
                <w:lang w:val="hr-HR"/>
              </w:rPr>
              <w:t xml:space="preserve">member of </w:t>
            </w:r>
            <w:r w:rsidRPr="009E7F9E">
              <w:rPr>
                <w:b/>
                <w:sz w:val="24"/>
                <w:szCs w:val="24"/>
                <w:lang w:val="hr-HR"/>
              </w:rPr>
              <w:t xml:space="preserve">Organising Committee </w:t>
            </w:r>
            <w:r w:rsidRPr="009E7F9E">
              <w:rPr>
                <w:sz w:val="24"/>
                <w:szCs w:val="24"/>
                <w:lang w:val="hr-HR"/>
              </w:rPr>
              <w:t>of</w:t>
            </w:r>
            <w:r w:rsidRPr="009E7F9E">
              <w:rPr>
                <w:b/>
                <w:sz w:val="24"/>
                <w:szCs w:val="24"/>
                <w:lang w:val="hr-HR"/>
              </w:rPr>
              <w:t xml:space="preserve"> Crotox</w:t>
            </w:r>
            <w:r>
              <w:rPr>
                <w:sz w:val="24"/>
                <w:szCs w:val="24"/>
                <w:lang w:val="hr-HR"/>
              </w:rPr>
              <w:t xml:space="preserve"> (congres of croatian toxicologists)</w:t>
            </w:r>
          </w:p>
          <w:p w:rsidR="009B5BE1" w:rsidRPr="00DB681E" w:rsidRDefault="009E7F9E" w:rsidP="009E7F9E">
            <w:pPr>
              <w:pStyle w:val="Eaoaeaa"/>
              <w:widowControl/>
              <w:spacing w:before="20" w:after="20"/>
              <w:rPr>
                <w:caps/>
                <w:sz w:val="24"/>
                <w:szCs w:val="24"/>
                <w:lang w:val="hr-HR"/>
              </w:rPr>
            </w:pPr>
            <w:r w:rsidRPr="009E7F9E">
              <w:rPr>
                <w:b/>
                <w:sz w:val="24"/>
                <w:szCs w:val="24"/>
                <w:lang w:val="hr-HR"/>
              </w:rPr>
              <w:t>2011</w:t>
            </w:r>
            <w:r>
              <w:rPr>
                <w:b/>
                <w:sz w:val="24"/>
                <w:szCs w:val="24"/>
                <w:lang w:val="hr-HR"/>
              </w:rPr>
              <w:t>.</w:t>
            </w:r>
            <w:r w:rsidRPr="00F0586F">
              <w:rPr>
                <w:sz w:val="24"/>
                <w:szCs w:val="24"/>
                <w:lang w:val="hr-HR"/>
              </w:rPr>
              <w:t xml:space="preserve">- member of </w:t>
            </w:r>
            <w:r w:rsidRPr="009E7F9E">
              <w:rPr>
                <w:b/>
                <w:sz w:val="24"/>
                <w:szCs w:val="24"/>
                <w:lang w:val="hr-HR"/>
              </w:rPr>
              <w:t xml:space="preserve">Organising Committee </w:t>
            </w:r>
            <w:r w:rsidRPr="009E7F9E">
              <w:rPr>
                <w:sz w:val="24"/>
                <w:szCs w:val="24"/>
                <w:lang w:val="hr-HR"/>
              </w:rPr>
              <w:t xml:space="preserve">of </w:t>
            </w:r>
            <w:r w:rsidRPr="009E7F9E">
              <w:rPr>
                <w:b/>
                <w:sz w:val="24"/>
                <w:szCs w:val="24"/>
                <w:lang w:val="hr-HR"/>
              </w:rPr>
              <w:t xml:space="preserve">Eighth Symposium </w:t>
            </w:r>
            <w:r w:rsidRPr="009E7F9E">
              <w:rPr>
                <w:sz w:val="24"/>
                <w:szCs w:val="24"/>
                <w:lang w:val="hr-HR"/>
              </w:rPr>
              <w:t>of the</w:t>
            </w:r>
            <w:r w:rsidRPr="009E7F9E">
              <w:rPr>
                <w:b/>
                <w:sz w:val="24"/>
                <w:szCs w:val="24"/>
                <w:lang w:val="hr-HR"/>
              </w:rPr>
              <w:t xml:space="preserve"> CRPA</w:t>
            </w:r>
            <w:r w:rsidRPr="00F0586F">
              <w:rPr>
                <w:sz w:val="24"/>
                <w:szCs w:val="24"/>
                <w:lang w:val="hr-HR"/>
              </w:rPr>
              <w:t xml:space="preserve"> (</w:t>
            </w:r>
            <w:r w:rsidRPr="00F0586F">
              <w:rPr>
                <w:sz w:val="24"/>
                <w:szCs w:val="24"/>
              </w:rPr>
              <w:t>Croatian Radiation Protection Association)</w:t>
            </w:r>
            <w:r>
              <w:rPr>
                <w:sz w:val="24"/>
                <w:szCs w:val="24"/>
              </w:rPr>
              <w:t xml:space="preserve"> </w:t>
            </w:r>
            <w:r w:rsidRPr="00F0586F">
              <w:rPr>
                <w:sz w:val="24"/>
                <w:szCs w:val="24"/>
                <w:lang w:val="hr-HR"/>
              </w:rPr>
              <w:t>with international participation, Krk, Croatia, April, 13-15, 2011</w:t>
            </w:r>
            <w:r>
              <w:rPr>
                <w:sz w:val="24"/>
                <w:szCs w:val="24"/>
                <w:lang w:val="hr-HR"/>
              </w:rPr>
              <w:t>)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9D9D9"/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MEMBERSHIP IN SCIENCE ORGANIZATIONS AND BODIES (CHRONOLOGICALLY;  HOME AND INTERNATIONAL ORGANIZATIONS AND BODIES)</w:t>
            </w:r>
          </w:p>
          <w:p w:rsidR="00453DD2" w:rsidRPr="00F0586F" w:rsidRDefault="00453DD2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5F6272" w:rsidRDefault="009E7F9E" w:rsidP="00F0586F">
            <w:pPr>
              <w:pStyle w:val="NormaleWeb"/>
            </w:pPr>
            <w:r w:rsidRPr="009E7F9E">
              <w:rPr>
                <w:b/>
              </w:rPr>
              <w:t>2004</w:t>
            </w:r>
            <w:r w:rsidRPr="005F6272">
              <w:t>.- member of Croatian Association Of Toxicology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F0586F" w:rsidRDefault="009E7F9E" w:rsidP="00F0586F">
            <w:pPr>
              <w:pStyle w:val="NormaleWeb"/>
              <w:rPr>
                <w:caps/>
              </w:rPr>
            </w:pPr>
            <w:r w:rsidRPr="009E7F9E">
              <w:rPr>
                <w:b/>
              </w:rPr>
              <w:t>2004.-</w:t>
            </w:r>
            <w:r w:rsidRPr="00F0586F">
              <w:t xml:space="preserve"> member of Croatian Genetic Society 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F0586F" w:rsidRDefault="009E7F9E" w:rsidP="00F0586F">
            <w:pPr>
              <w:pStyle w:val="NormaleWeb"/>
              <w:rPr>
                <w:caps/>
              </w:rPr>
            </w:pPr>
            <w:r w:rsidRPr="009E7F9E">
              <w:rPr>
                <w:b/>
              </w:rPr>
              <w:t>2010</w:t>
            </w:r>
            <w:r w:rsidRPr="00F0586F">
              <w:t xml:space="preserve">.-  member of Croatian Association For Biochemistry And Molecular Biology 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5F6272" w:rsidRDefault="009E7F9E" w:rsidP="00F0586F">
            <w:pPr>
              <w:pStyle w:val="NormaleWeb"/>
            </w:pPr>
            <w:r w:rsidRPr="009E7F9E">
              <w:rPr>
                <w:b/>
              </w:rPr>
              <w:t>2010</w:t>
            </w:r>
            <w:r w:rsidRPr="005F6272">
              <w:t xml:space="preserve">.-  member of Croatian Radiation Protection Association 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9B5BE1" w:rsidRPr="00F0586F" w:rsidRDefault="009B5BE1" w:rsidP="00F0586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PAPERS</w:t>
            </w:r>
          </w:p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(CHRONOLOGICALLY; RESEARCH BOOKS, HOME AND INTERNATIONAL RESEARCH JOURNALS, HOME AND INTERNATIONAL CONFERENCE  PROCEEDINGS)</w:t>
            </w:r>
          </w:p>
          <w:p w:rsidR="00E72886" w:rsidRPr="00F0586F" w:rsidRDefault="00E72886" w:rsidP="00F0586F">
            <w:pPr>
              <w:spacing w:after="0" w:line="240" w:lineRule="auto"/>
            </w:pP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DD9C3"/>
          </w:tcPr>
          <w:p w:rsidR="009B5BE1" w:rsidRDefault="009B5BE1" w:rsidP="00F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BOOK CHAPTER</w:t>
            </w:r>
          </w:p>
          <w:p w:rsidR="00E72886" w:rsidRPr="00F0586F" w:rsidRDefault="00E72886" w:rsidP="00F0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F0586F" w:rsidRDefault="009B5BE1" w:rsidP="00834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ookAntiqua" w:hAnsi="Times New Roman"/>
                <w:i/>
                <w:sz w:val="24"/>
                <w:szCs w:val="24"/>
                <w:lang w:eastAsia="hr-HR"/>
              </w:rPr>
            </w:pPr>
            <w:r w:rsidRPr="00F0586F">
              <w:rPr>
                <w:rFonts w:ascii="Times New Roman" w:eastAsia="BookAntiqua" w:hAnsi="Times New Roman"/>
                <w:b/>
                <w:sz w:val="24"/>
                <w:szCs w:val="24"/>
                <w:lang w:eastAsia="hr-HR"/>
              </w:rPr>
              <w:t>Milić M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lang w:eastAsia="hr-HR"/>
              </w:rPr>
              <w:t xml:space="preserve">, Rozgaj R, Kašuba V, Jazbec A M, Hrelia P, Angelini S (2011) </w:t>
            </w:r>
            <w:r w:rsidRPr="00F0586F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The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i</w:t>
            </w:r>
            <w:r w:rsidRPr="00F0586F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nfluence of individual genome sensitivity in DNA damage repair assessment in chronic professional exposure to low doses of ionizing radiation. </w:t>
            </w:r>
            <w:r w:rsidRPr="00F0586F">
              <w:rPr>
                <w:rFonts w:ascii="Times New Roman" w:hAnsi="Times New Roman"/>
                <w:bCs/>
                <w:i/>
                <w:sz w:val="24"/>
                <w:szCs w:val="24"/>
                <w:lang w:eastAsia="hr-HR"/>
              </w:rPr>
              <w:t>In:</w:t>
            </w:r>
            <w:r w:rsidRPr="00F0586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hr-HR"/>
              </w:rPr>
              <w:t>Chen CC</w:t>
            </w:r>
            <w:r w:rsidRPr="00F0586F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  <w:r w:rsidRPr="00F0586F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 xml:space="preserve"> (ed.) DNA Repair</w:t>
            </w:r>
            <w:r w:rsidRPr="00F0586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− On the Pathways to Fixing DNA Damage and Errors- part II,</w:t>
            </w:r>
            <w:r w:rsidRPr="00F0586F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. InTech, Rijeka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, Chapter 19, pp. 437-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lastRenderedPageBreak/>
              <w:t>464.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DD9C3"/>
          </w:tcPr>
          <w:p w:rsidR="009B5BE1" w:rsidRDefault="009B5BE1" w:rsidP="00F0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zncccasopis"/>
            <w:r w:rsidRPr="00F05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JOURNAL ARTICLES AND REVIEW ARTICLES IN CC JOURNALS</w:t>
            </w:r>
            <w:bookmarkEnd w:id="0"/>
          </w:p>
          <w:p w:rsidR="00E72886" w:rsidRPr="00F0586F" w:rsidRDefault="00E72886" w:rsidP="00F0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50984" w:rsidRPr="00450984" w:rsidRDefault="00450984" w:rsidP="00450984">
            <w:pPr>
              <w:pStyle w:val="details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</w:pPr>
            <w:r w:rsidRPr="00450984">
              <w:rPr>
                <w:b/>
              </w:rPr>
              <w:t>Milić M</w:t>
            </w:r>
            <w:r w:rsidRPr="00450984">
              <w:t>, Kišan M, Rogulj D, Radman M, Lovrenčić MV, Konjevoda P, Domijan AM. Level of primary DNA damage in the early stage of metabolic syndrome.</w:t>
            </w:r>
            <w:r w:rsidRPr="00450984">
              <w:rPr>
                <w:rStyle w:val="jrnl"/>
              </w:rPr>
              <w:t xml:space="preserve"> Mutat Res</w:t>
            </w:r>
            <w:r w:rsidRPr="00450984">
              <w:t xml:space="preserve">. 2013 Dec 12;758(1-2):1-5. doi: 10.1016/j.mrgentox.2013.07.013. Epub 2013 Sep 27.PMID:24076402[PubMed - in process] </w:t>
            </w:r>
          </w:p>
          <w:p w:rsidR="00DA73FB" w:rsidRPr="00DA73FB" w:rsidRDefault="00DA73FB" w:rsidP="00793EA7">
            <w:pPr>
              <w:pStyle w:val="details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ind w:left="357" w:hanging="357"/>
              <w:jc w:val="both"/>
            </w:pPr>
            <w:r w:rsidRPr="00450984">
              <w:t xml:space="preserve">Fucic A, Gamulin M, Katic J, </w:t>
            </w:r>
            <w:r w:rsidRPr="00450984">
              <w:rPr>
                <w:b/>
              </w:rPr>
              <w:t>Milic M</w:t>
            </w:r>
            <w:r w:rsidRPr="00450984">
              <w:t>, Druzhinin</w:t>
            </w:r>
            <w:r w:rsidRPr="00DA73FB">
              <w:t xml:space="preserve"> V, Grgić M (2013) Genome damage in testicular seminoma patients seven years after radiotherapy.</w:t>
            </w:r>
            <w:r w:rsidRPr="00DA73FB">
              <w:rPr>
                <w:rStyle w:val="jrnl"/>
              </w:rPr>
              <w:t xml:space="preserve"> Int J Radiat Biol</w:t>
            </w:r>
            <w:r w:rsidRPr="00DA73FB">
              <w:t>. 2013 Aug 9. [Epub ahead of print]</w:t>
            </w:r>
          </w:p>
          <w:p w:rsidR="009B5BE1" w:rsidRPr="00C53BE2" w:rsidRDefault="009B5BE1" w:rsidP="00793E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C53BE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Kašuba V, Rozgaj R, </w:t>
            </w:r>
            <w:r w:rsidRPr="00C53BE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Milić M</w:t>
            </w:r>
            <w:r w:rsidRPr="00C53BE2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Želježić D, Kopjar N, Pizent A, Kljaković-Gašpić Z, Jazbec A (2012) </w:t>
            </w:r>
            <w:r w:rsidRPr="00C53BE2">
              <w:rPr>
                <w:rFonts w:ascii="Times New Roman" w:hAnsi="Times New Roman"/>
                <w:sz w:val="24"/>
                <w:szCs w:val="24"/>
              </w:rPr>
              <w:t>Evaluation of genotoxic effects of lead in pottery-glaze workers using micronucleus assay, alkaline comet assay and DNA diffusion assay. Int Arch Occup Environ Health. DOI 10.1007s00420-011-0726-4.</w:t>
            </w:r>
          </w:p>
          <w:p w:rsidR="009B5BE1" w:rsidRPr="00834B3A" w:rsidRDefault="009B5BE1" w:rsidP="00793E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834B3A">
              <w:rPr>
                <w:rFonts w:ascii="Times New Roman" w:hAnsi="Times New Roman"/>
                <w:sz w:val="24"/>
                <w:szCs w:val="24"/>
              </w:rPr>
              <w:t xml:space="preserve">Rogulj D, Konjevoda P, </w:t>
            </w:r>
            <w:r w:rsidRPr="00834B3A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834B3A">
              <w:rPr>
                <w:rFonts w:ascii="Times New Roman" w:hAnsi="Times New Roman"/>
                <w:sz w:val="24"/>
                <w:szCs w:val="24"/>
              </w:rPr>
              <w:t xml:space="preserve">, Mladinić M, Domijan AM (2012) Fatty liver index as an indicator of metabolic syndrome. </w:t>
            </w:r>
            <w:r w:rsidRPr="00834B3A">
              <w:rPr>
                <w:rStyle w:val="jrnl"/>
                <w:rFonts w:ascii="Times New Roman" w:hAnsi="Times New Roman"/>
                <w:sz w:val="24"/>
                <w:szCs w:val="24"/>
              </w:rPr>
              <w:t>Clin Biochem</w:t>
            </w:r>
            <w:r w:rsidRPr="00834B3A">
              <w:rPr>
                <w:rFonts w:ascii="Times New Roman" w:hAnsi="Times New Roman"/>
                <w:sz w:val="24"/>
                <w:szCs w:val="24"/>
              </w:rPr>
              <w:t xml:space="preserve"> 45(1-2):68-71. </w:t>
            </w:r>
          </w:p>
          <w:p w:rsidR="009B5BE1" w:rsidRPr="00F0586F" w:rsidRDefault="009B5BE1" w:rsidP="00793E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0586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Mladinic M,  Kopjar N, </w:t>
            </w:r>
            <w:r w:rsidRPr="00F0586F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Milic M</w:t>
            </w:r>
            <w:r w:rsidRPr="00F0586F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Buljevic Dasovic A, Huzak M, Zeljezic D (2010) Genomic instability in a healthy elderly population: a pilot study of possible cytogenetic markers related to ageing. </w:t>
            </w:r>
            <w:r w:rsidRPr="00F0586F">
              <w:rPr>
                <w:rStyle w:val="jrnl"/>
                <w:rFonts w:ascii="Times New Roman" w:hAnsi="Times New Roman"/>
                <w:sz w:val="24"/>
                <w:szCs w:val="24"/>
              </w:rPr>
              <w:t>Mutagenesis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. 2010 Sep;25(5):455-62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5BE1" w:rsidRPr="00F0586F" w:rsidRDefault="009B5BE1" w:rsidP="00793E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, Rozgaj R, Kašuba V, Oreščanin V, Balija</w:t>
            </w:r>
            <w:r w:rsidRPr="00F0586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M, Jukić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I (2010)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Correlation between folate and vitamin B 12</w:t>
            </w:r>
            <w:r w:rsidRPr="00F0586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and markers of DNA stability in healthy volunteers: preliminary results. </w:t>
            </w:r>
            <w:r w:rsidRPr="00F0586F">
              <w:rPr>
                <w:rStyle w:val="jrnl"/>
                <w:rFonts w:ascii="Times New Roman" w:hAnsi="Times New Roman"/>
                <w:sz w:val="24"/>
                <w:szCs w:val="24"/>
              </w:rPr>
              <w:t>Acta Biochim Pol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. 2010;57(3):339-45.</w:t>
            </w:r>
          </w:p>
          <w:p w:rsidR="009B5BE1" w:rsidRPr="00F0586F" w:rsidRDefault="009B5BE1" w:rsidP="00793EA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Kopjar N, Kašuba V, Rozgaj R, Želježić D,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M,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Ramić S, Pavlica V, Milkovic-Kraus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(2009) The genotoxic risk in health care workers occupationally exposed to cytotoxic drugs-a comprehensive evaluation by the SCE assay. </w:t>
            </w:r>
            <w:r w:rsidRPr="00F0586F">
              <w:rPr>
                <w:rStyle w:val="journalname"/>
                <w:rFonts w:ascii="Times New Roman" w:hAnsi="Times New Roman"/>
                <w:sz w:val="24"/>
                <w:szCs w:val="24"/>
              </w:rPr>
              <w:t>J Environ Sci Health A Tox Hazard Subst Environ Eng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44(5): 462-479</w:t>
            </w:r>
          </w:p>
          <w:p w:rsidR="009B5BE1" w:rsidRPr="005F6272" w:rsidRDefault="009B5BE1" w:rsidP="00793EA7">
            <w:pPr>
              <w:pStyle w:val="title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jc w:val="both"/>
            </w:pPr>
            <w:r w:rsidRPr="005F6272">
              <w:t xml:space="preserve">Kašuba V, Rozgaj  R, </w:t>
            </w:r>
            <w:r w:rsidRPr="00F0586F">
              <w:rPr>
                <w:b/>
              </w:rPr>
              <w:t>Milić  M</w:t>
            </w:r>
            <w:r w:rsidRPr="005F6272">
              <w:t xml:space="preserve">, Želježić  D, Kopjar  N, Pizent  A, Kljaković-Gašpić Z (2009) </w:t>
            </w:r>
            <w:r w:rsidRPr="00F0586F">
              <w:rPr>
                <w:bCs/>
              </w:rPr>
              <w:t>Evaluation of lead exposure in battery-manufacturing workers with focus on different biomarkers</w:t>
            </w:r>
            <w:r w:rsidRPr="005F6272">
              <w:t xml:space="preserve">. </w:t>
            </w:r>
            <w:r w:rsidRPr="005F6272">
              <w:rPr>
                <w:rStyle w:val="jrnl"/>
              </w:rPr>
              <w:t>J Appl Toxicol</w:t>
            </w:r>
            <w:r w:rsidRPr="005F6272">
              <w:t>. 2010 May;30(4):321-8.</w:t>
            </w:r>
          </w:p>
          <w:p w:rsidR="009B5BE1" w:rsidRPr="00F0586F" w:rsidRDefault="009B5BE1" w:rsidP="00793E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Kašuba V, Oreščanin V, Želježić D, Kopjar N, Rozgaj R (2008)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Chromosome damage in workers in cigarette manufacturing industry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Journal of Applied Toxicology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(3): 399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404 </w:t>
            </w:r>
          </w:p>
          <w:p w:rsidR="009B5BE1" w:rsidRPr="00F0586F" w:rsidRDefault="009B5BE1" w:rsidP="00793EA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Kopjar N, Mustafic P, Zanella D, Buj I, Caleta M, Marcic Z, </w:t>
            </w:r>
            <w:r w:rsidRPr="00F0586F">
              <w:rPr>
                <w:rStyle w:val="bibrecord-highlight-user"/>
                <w:rFonts w:ascii="Times New Roman" w:hAnsi="Times New Roman"/>
                <w:b/>
                <w:sz w:val="24"/>
                <w:szCs w:val="24"/>
              </w:rPr>
              <w:t>Milic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, Dolenec Z. Mrakovcic M. (</w:t>
            </w:r>
            <w:r w:rsidRPr="00F0586F">
              <w:rPr>
                <w:rStyle w:val="titles-source"/>
                <w:rFonts w:ascii="Times New Roman" w:hAnsi="Times New Roman"/>
                <w:sz w:val="24"/>
                <w:szCs w:val="24"/>
              </w:rPr>
              <w:t xml:space="preserve">2008) </w:t>
            </w:r>
            <w:r w:rsidRPr="00F0586F">
              <w:rPr>
                <w:rStyle w:val="titles-title"/>
                <w:rFonts w:ascii="Times New Roman" w:hAnsi="Times New Roman"/>
                <w:sz w:val="24"/>
                <w:szCs w:val="24"/>
              </w:rPr>
              <w:t>Assessment of DNA integrity in erythrocytes of Cobitis elongata affected by water pollution: the alkaline comet assay study.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86F">
              <w:rPr>
                <w:rStyle w:val="titles-source"/>
                <w:rFonts w:ascii="Times New Roman" w:hAnsi="Times New Roman"/>
                <w:sz w:val="24"/>
                <w:szCs w:val="24"/>
              </w:rPr>
              <w:t>Folia Zoologica. 57(1-2):120-130.</w:t>
            </w:r>
          </w:p>
          <w:p w:rsidR="009B5BE1" w:rsidRPr="00F0586F" w:rsidRDefault="009B5BE1" w:rsidP="00793E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Domijan AM, Želježić D,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Peraica  M (2007)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Fumonisin B1: Oxidative status and DNA damage in rats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Toxicology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232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(3): 163-169 </w:t>
            </w:r>
          </w:p>
          <w:p w:rsidR="009B5BE1" w:rsidRPr="00DA73FB" w:rsidRDefault="009B5BE1" w:rsidP="00F0586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Kopjar N, Želježić D, Lucić Vrdoljak A, Radić B, Ramić S,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Gamulin M, Pavlica V, Fučić A (2007) Irinotecan toxicity to human blood cells </w:t>
            </w:r>
            <w:r w:rsidRPr="00F0586F">
              <w:rPr>
                <w:rFonts w:ascii="Times New Roman" w:hAnsi="Times New Roman"/>
                <w:i/>
                <w:iCs/>
                <w:sz w:val="24"/>
                <w:szCs w:val="24"/>
              </w:rPr>
              <w:t>in vitro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– relationship between various biomarkers.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Basic &amp; Clinical Pharmacology &amp; Toxicology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: 403-413 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DD9C3"/>
          </w:tcPr>
          <w:p w:rsidR="009B5BE1" w:rsidRDefault="009B5BE1" w:rsidP="00F0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zncasopis"/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SCIENTIFIC PAPERS IN OTHER JOURNALS</w:t>
            </w:r>
            <w:bookmarkEnd w:id="1"/>
          </w:p>
          <w:p w:rsidR="00E72886" w:rsidRPr="00F0586F" w:rsidRDefault="00E72886" w:rsidP="00F0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175283" w:rsidRPr="00175283" w:rsidRDefault="00175283" w:rsidP="0017528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283">
              <w:rPr>
                <w:rFonts w:ascii="Times New Roman" w:hAnsi="Times New Roman"/>
                <w:sz w:val="24"/>
                <w:szCs w:val="24"/>
              </w:rPr>
              <w:t xml:space="preserve">Dobrović S, Juretić H, Ljubas Davor, Vinković Vrček I, </w:t>
            </w:r>
            <w:r w:rsidRPr="00175283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175283">
              <w:rPr>
                <w:rFonts w:ascii="Times New Roman" w:hAnsi="Times New Roman"/>
                <w:sz w:val="24"/>
                <w:szCs w:val="24"/>
              </w:rPr>
              <w:t xml:space="preserve">, Kopjar N, Nemet I, Jerić I. (2011) </w:t>
            </w:r>
            <w:r w:rsidRPr="00175283">
              <w:rPr>
                <w:rFonts w:ascii="Times New Roman" w:hAnsi="Times New Roman"/>
                <w:bCs/>
                <w:sz w:val="24"/>
                <w:szCs w:val="24"/>
              </w:rPr>
              <w:t>Nanosilver in the glass of water - a comprehensive identification of disinfection by-products and assessment of mutagenicity of disinfected drinking water in the presence of nanosilver</w:t>
            </w:r>
            <w:r w:rsidRPr="00175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5283">
              <w:rPr>
                <w:rFonts w:ascii="Times New Roman" w:hAnsi="Times New Roman"/>
                <w:i/>
                <w:iCs/>
                <w:sz w:val="24"/>
                <w:szCs w:val="24"/>
              </w:rPr>
              <w:t>2011 NOM Conference Proceedings-Fourth IWA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75283">
              <w:rPr>
                <w:rFonts w:ascii="Times New Roman" w:hAnsi="Times New Roman"/>
                <w:i/>
                <w:iCs/>
                <w:sz w:val="24"/>
                <w:szCs w:val="24"/>
              </w:rPr>
              <w:t>Specialty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75283">
              <w:rPr>
                <w:rFonts w:ascii="Times New Roman" w:hAnsi="Times New Roman"/>
                <w:i/>
                <w:iCs/>
                <w:sz w:val="24"/>
                <w:szCs w:val="24"/>
              </w:rPr>
              <w:t>Conference on Natural Organic Matter</w:t>
            </w:r>
            <w:r w:rsidRPr="00175283">
              <w:rPr>
                <w:rFonts w:ascii="Times New Roman" w:hAnsi="Times New Roman"/>
                <w:sz w:val="24"/>
                <w:szCs w:val="24"/>
              </w:rPr>
              <w:t>. Costa Mesa, California, USA, pp. 1-15</w:t>
            </w:r>
          </w:p>
          <w:p w:rsidR="009B5BE1" w:rsidRPr="005202EE" w:rsidRDefault="009B5BE1" w:rsidP="005202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02EE">
              <w:rPr>
                <w:rFonts w:ascii="Times New Roman" w:hAnsi="Times New Roman"/>
                <w:bCs/>
                <w:sz w:val="24"/>
                <w:szCs w:val="24"/>
              </w:rPr>
              <w:t xml:space="preserve">Gamulin M, Katić J, </w:t>
            </w:r>
            <w:r w:rsidRPr="005202EE">
              <w:rPr>
                <w:rFonts w:ascii="Times New Roman" w:hAnsi="Times New Roman"/>
                <w:b/>
                <w:bCs/>
                <w:sz w:val="24"/>
                <w:szCs w:val="24"/>
              </w:rPr>
              <w:t>Milić M</w:t>
            </w:r>
            <w:r w:rsidRPr="005202EE">
              <w:rPr>
                <w:rFonts w:ascii="Times New Roman" w:hAnsi="Times New Roman"/>
                <w:bCs/>
                <w:sz w:val="24"/>
                <w:szCs w:val="24"/>
              </w:rPr>
              <w:t xml:space="preserve">, Grgić M, Fučić A (2011) Long-term follow-up study of genome damage elimination in patients with testicular seminoma exposed to ionizing </w:t>
            </w:r>
            <w:r w:rsidRPr="005202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radiation during radiotherapy. </w:t>
            </w:r>
            <w:r w:rsidRPr="005202EE">
              <w:rPr>
                <w:rFonts w:ascii="Times New Roman" w:hAnsi="Times New Roman"/>
                <w:iCs/>
                <w:sz w:val="24"/>
                <w:szCs w:val="24"/>
              </w:rPr>
              <w:t>Arhiv za higijenu rada i toksikologiju 62: 51-56.</w:t>
            </w:r>
          </w:p>
          <w:p w:rsidR="009B5BE1" w:rsidRPr="00F0586F" w:rsidRDefault="009B5BE1" w:rsidP="00793EA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Rozgaj R, Kašuba V, Kubelka D, Angelini S, Hrelia P (2010)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 xml:space="preserve">Povezanost polimorfizma gena za popravak DNA i osjetljivosti na ionizirajuće zračenje [DNA repair gene polymorphisms and sensitivity to ionising radiation. </w:t>
            </w:r>
            <w:r w:rsidRPr="00F0586F">
              <w:rPr>
                <w:rFonts w:ascii="Times New Roman" w:hAnsi="Times New Roman"/>
                <w:bCs/>
                <w:i/>
                <w:sz w:val="24"/>
                <w:szCs w:val="24"/>
              </w:rPr>
              <w:t>In Croatian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Arhiv za higijenu rada i toksikologiju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61(S)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: 107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121 </w:t>
            </w:r>
          </w:p>
          <w:p w:rsidR="009B5BE1" w:rsidRPr="00F0586F" w:rsidRDefault="009B5BE1" w:rsidP="00793EA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(2010) Genomska nestabilnost i test osjetljivosti na bleomicin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[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Genome instability and bleomycin sensitivity test. </w:t>
            </w:r>
            <w:r w:rsidRPr="00F0586F">
              <w:rPr>
                <w:rFonts w:ascii="Times New Roman" w:hAnsi="Times New Roman"/>
                <w:i/>
                <w:sz w:val="24"/>
                <w:szCs w:val="24"/>
              </w:rPr>
              <w:t>In Croatian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]. Arh Hig Rada Toksikol. 61(2):257-66. Review.</w:t>
            </w:r>
          </w:p>
          <w:p w:rsidR="009B5BE1" w:rsidRPr="00793EA7" w:rsidRDefault="009B5BE1" w:rsidP="00793EA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Kopjar N, Kašuba V,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Rozgaj R, Želježić D, Gajski G, Mladinić M, Garaj-Vrhovac V (2010) Normalne i granične vrijednosti mikronukleus-testa na limfocitima periferne krvi u ispitanika opće populacije Republike Hrvatske [Normal and cut-off values of the cytokinesis-block micronucleus assay on peripheral blood lymphocytes in the Croatian general population. </w:t>
            </w:r>
            <w:r w:rsidRPr="00F0586F">
              <w:rPr>
                <w:rFonts w:ascii="Times New Roman" w:hAnsi="Times New Roman"/>
                <w:i/>
                <w:sz w:val="24"/>
                <w:szCs w:val="24"/>
              </w:rPr>
              <w:t>In Croatian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]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Arhiv za higijenu rada i toksikologiju 61(2)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B5BE1" w:rsidRDefault="009B5BE1" w:rsidP="00F0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casopis"/>
            <w:r w:rsidRPr="00F05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PAPERS IN OTHER JOURNALS</w:t>
            </w:r>
            <w:bookmarkEnd w:id="2"/>
          </w:p>
          <w:p w:rsidR="00E72886" w:rsidRPr="00F0586F" w:rsidRDefault="00E72886" w:rsidP="00F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F0586F" w:rsidRDefault="009B5BE1" w:rsidP="009C5C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Kopjar N, Miočić S, Ramić S,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Viculin T (2006)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 xml:space="preserve">Assessment of the Radioprotective Effects of Amifostine and Melatonin on Human Lymphocytes Irradiated with Gamma-Rays </w:t>
            </w:r>
            <w:r w:rsidRPr="00F0586F">
              <w:rPr>
                <w:rFonts w:ascii="Times New Roman" w:hAnsi="Times New Roman"/>
                <w:bCs/>
                <w:i/>
                <w:sz w:val="24"/>
                <w:szCs w:val="24"/>
              </w:rPr>
              <w:t>In Vitro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Arhiv za higijenu rada i toksikologiju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(2): 155-163 </w:t>
            </w:r>
          </w:p>
          <w:p w:rsidR="009B5BE1" w:rsidRPr="00F0586F" w:rsidRDefault="009B5BE1" w:rsidP="009C5C97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Milic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Kopjar N (2004) Evaluation of </w:t>
            </w:r>
            <w:r w:rsidRPr="00F0586F">
              <w:rPr>
                <w:rFonts w:ascii="Times New Roman" w:hAnsi="Times New Roman"/>
                <w:i/>
                <w:sz w:val="24"/>
                <w:szCs w:val="24"/>
              </w:rPr>
              <w:t>in vitro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Genotoxic Activity of Bleomycin and Mitomycin C in Human Lymphocytes Using the Alkaline Comet Assay.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Arhiv za higijenu rada i toksikologiju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55 (4): 249-259 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B5BE1" w:rsidRDefault="009B5BE1" w:rsidP="00F0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skupcccasopis"/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CONFERENCE REPORTS (ABSTRACTS) IN CC JOURNALS</w:t>
            </w:r>
            <w:bookmarkEnd w:id="3"/>
          </w:p>
          <w:p w:rsidR="00E72886" w:rsidRPr="00F0586F" w:rsidRDefault="00E72886" w:rsidP="00F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Mladinić M, Kopjar N,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, Dasović D, Želježić D</w:t>
            </w:r>
            <w:r w:rsidRPr="00F0586F">
              <w:rPr>
                <w:rFonts w:ascii="Times New Roman" w:hAnsi="Times New Roman"/>
                <w:sz w:val="24"/>
                <w:szCs w:val="24"/>
              </w:rPr>
              <w:br/>
              <w:t xml:space="preserve">(2009)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Translocation yield and its distribution among chromosomes 1, 2 and 4 in healthy elderly population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Pr="00F0586F">
              <w:rPr>
                <w:rFonts w:ascii="Times New Roman" w:hAnsi="Times New Roman"/>
                <w:i/>
                <w:iCs/>
                <w:sz w:val="24"/>
                <w:szCs w:val="24"/>
              </w:rPr>
              <w:t>Seventh European Cytogenetics Conference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/ Macgregor, Herbert (eds.). Stockholm : Springer,pp. 100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Rozgaj R, Kašuba V (2008) Influence of smoking, folic acid and vitamin B12 concentration on DNA stability in lymphocytes from workers occupationally exposed to low levels of ionizing radiation.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180S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: R38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Kašuba V, Rozgaj R, Kopjar N, Želježić D,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(2005) Biological monitoring of genotoxic hazards in workers of the cigarette manufacturing industry. Toxicol Lett 158(1): S150-S151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, Rozgaj R, Kašuba V (2005) Determination of micronuclei in V79 cells induced by cadmium chloride using Giemsa, DAPI and silver staining tehniques. Toxicol Lett 158(1): S162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Rozgaj R, Kašuba V, Kopjar N, Želježić D,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(2005) Frequency of sister chromatid exchange in cigarette industry workers. Toxicol Lett 158 (1): S98-S99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Kašuba V, Želježić D, Rozgaj R,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(2006) Evaluation of Apoptotic Activity of Mercury Chloride by DNA Diffusion Assay.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164S: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S194-S19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Rozgaj R, Želježić D, Kašuba V (2006) Mercury Chloride Genotoxicity in Human Lymphocyte Culture Assessed by the Alkaline Comet Assay.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164S: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S195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Rozgaj R,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Kašuba V, Želježić D (2006) Mercury Chloride Genotoxicity Evaluated by Micronucleus Test in Human Lymphocyte Culture. 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S195: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164S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Pizent A, Kljaković-Gašpić Z, Rozgaj R, Kašuba V (2007) Micronuclei and trace elements in lead workers.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172S:</w:t>
            </w:r>
            <w:r w:rsidRPr="00F058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S119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Kašuba V, Rozgaj R,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Pizent A, Kljaković-Gašpić Z (2007) Correlations of blood lead in lead workers and the incidence of micronuclei.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172S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: S117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Rozgaj R, Kašuba V,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Pizent A, Kljaković-Gašpić Z (2007) DNA damage in lymphocytes of lead workers determined by the alkaline comet assay.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172S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: S122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Kašuba V, Rozgaj R,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(2008) A DNA repair using the alkaline comet assay in human peripheral blood lymphocytes after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in vitro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exposure to 2 and 4 Gy of gamma radiation.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180S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: R31</w:t>
            </w:r>
          </w:p>
          <w:p w:rsidR="009B5BE1" w:rsidRPr="00F0586F" w:rsidRDefault="009B5BE1" w:rsidP="009C5C97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Rozgaj R, Kašuba V,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(2008) Correlation between frequency of micronuclei and status of folate and vitamin B12 in operating theatre staff. Toxicol Lett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180S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: R48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B5BE1" w:rsidRDefault="009B5BE1" w:rsidP="00F0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recenzija"/>
            <w:r w:rsidRPr="00F05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OTHER REFEREED CONFERENCE PAPERS</w:t>
            </w:r>
            <w:bookmarkEnd w:id="4"/>
          </w:p>
          <w:p w:rsidR="00E72886" w:rsidRPr="00F0586F" w:rsidRDefault="00E72886" w:rsidP="00F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A0255C" w:rsidRPr="00A0255C" w:rsidRDefault="00A0255C" w:rsidP="009C5C9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Milić  M,</w:t>
            </w: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Vilić  M, Kašuba V, Pejaković Hlede  J, Gottstein Ž, Karadjole  M, Miljanić S.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(2013)</w:t>
            </w: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The assessment of DNA damage in poultra spermatozoa after exposure to low doses of ionizing radiation. </w:t>
            </w:r>
            <w:r w:rsidRPr="00F0586F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 xml:space="preserve">Proceedings of the </w:t>
            </w:r>
            <w:r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>9</w:t>
            </w:r>
            <w:r w:rsidRPr="00F0586F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>th Symposium of the Croatian Radiation Protection Association</w:t>
            </w: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F0586F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Knežević Ž, Majer M, Bronić Krajcar I (eds). Zagreb, pp.</w:t>
            </w: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147-151</w:t>
            </w:r>
          </w:p>
          <w:p w:rsidR="00A0255C" w:rsidRPr="00A0255C" w:rsidRDefault="00A0255C" w:rsidP="009C5C9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Šegvić Klarić M, Kosalec I, </w:t>
            </w:r>
            <w:r w:rsidRPr="00A0255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Milić M,</w:t>
            </w: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Kopjar N. Inhibition of genotoxic effects of UVC radiation on human keratinocyte HaCaT cells by Echinacea purp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urea (L.) Moench herbal extract. </w:t>
            </w:r>
            <w:r w:rsidR="003A49E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(2013) </w:t>
            </w:r>
            <w:r w:rsidRPr="00F0586F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 xml:space="preserve">Proceedings of the </w:t>
            </w:r>
            <w:r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>9</w:t>
            </w:r>
            <w:r w:rsidRPr="00F0586F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>th Symposium of the Croatian Radiation Protection Association</w:t>
            </w: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 w:rsidRPr="00F0586F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Knežević Ž, Majer M, Bronić Krajcar I (eds). Zagreb, pp.</w:t>
            </w: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255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153-158</w:t>
            </w:r>
          </w:p>
          <w:p w:rsidR="009B5BE1" w:rsidRPr="00F0586F" w:rsidRDefault="009B5BE1" w:rsidP="009C5C9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55C">
              <w:rPr>
                <w:rFonts w:ascii="Times New Roman" w:hAnsi="Times New Roman"/>
                <w:b/>
                <w:sz w:val="24"/>
                <w:szCs w:val="24"/>
              </w:rPr>
              <w:t>Milić M,</w:t>
            </w:r>
            <w:r w:rsidRPr="00A0255C">
              <w:rPr>
                <w:rFonts w:ascii="Times New Roman" w:hAnsi="Times New Roman"/>
                <w:sz w:val="24"/>
                <w:szCs w:val="24"/>
              </w:rPr>
              <w:t xml:space="preserve"> Rozgaj R, Kašuba V, Mladinić M, Želježić D, Kubelka D, Angelini S, Hrelia</w:t>
            </w:r>
            <w:r w:rsidRPr="00A0255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A0255C">
              <w:rPr>
                <w:rFonts w:ascii="Times New Roman" w:hAnsi="Times New Roman"/>
                <w:sz w:val="24"/>
                <w:szCs w:val="24"/>
              </w:rPr>
              <w:t xml:space="preserve">P (2011)  </w:t>
            </w:r>
            <w:r w:rsidRPr="00A0255C">
              <w:rPr>
                <w:rFonts w:ascii="Times New Roman" w:hAnsi="Times New Roman"/>
                <w:sz w:val="24"/>
                <w:szCs w:val="24"/>
                <w:lang w:val="sr-Latn-CS"/>
              </w:rPr>
              <w:t>Utjecaj polimorfizama gena za popravak DNA na oštećenja genoma limfocita</w:t>
            </w:r>
            <w:r w:rsidRPr="00F0586F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uzrokovanima kroničnom izloženošću ionizirajućem zračenju nakon izlaganja dozi od 4 Gy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 xml:space="preserve"> [Influence of SNP polymorphisms in DNA repair genes on the level of persistent damage in human lymphocytes after exposure to 4 Gy of ionising radiation. </w:t>
            </w:r>
            <w:r w:rsidRPr="00F0586F">
              <w:rPr>
                <w:rFonts w:ascii="Times New Roman" w:hAnsi="Times New Roman"/>
                <w:bCs/>
                <w:i/>
                <w:sz w:val="24"/>
                <w:szCs w:val="24"/>
              </w:rPr>
              <w:t>In Croatian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 xml:space="preserve">]. </w:t>
            </w:r>
            <w:r w:rsidRPr="00F0586F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>Proceedings of the XXVIth Symposium of the Serbian Radiation Protection Association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lang w:val="en-GB"/>
              </w:rPr>
              <w:t>. Tara 12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lang w:val="en-GB"/>
              </w:rPr>
              <w:t>-14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lang w:val="en-GB"/>
              </w:rPr>
              <w:t xml:space="preserve"> of October 2011, Serbia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(accepted for publication)</w:t>
            </w:r>
          </w:p>
          <w:p w:rsidR="009B5BE1" w:rsidRPr="00F0586F" w:rsidRDefault="009B5BE1" w:rsidP="009C5C9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, Jovičić D, Rakić B, Pajić J (2011) Comparative analysis of the micronuclei incidence of persons occupationally exposed to ionising radiation in Serbia and Croatia.</w:t>
            </w:r>
            <w:r w:rsidRPr="00F0586F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 xml:space="preserve"> Proceedings of the XXVIth Symposium of the Serbian Radiation Protection Association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lang w:val="en-GB"/>
              </w:rPr>
              <w:t>. Tara 12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lang w:val="en-GB"/>
              </w:rPr>
              <w:t>-14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lang w:val="en-GB"/>
              </w:rPr>
              <w:t xml:space="preserve"> of October 2011, Serbia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(accepted for publication)</w:t>
            </w:r>
          </w:p>
          <w:p w:rsidR="009B5BE1" w:rsidRPr="00F0586F" w:rsidRDefault="009B5BE1" w:rsidP="009C5C9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Rozgaj R, Kašuba V, Kubelka D, Angelini S, Hrelia P (2011) Utjecaj polimorfizama gena za popravak DNA na razinu postojanih oštećenja genoma u ljudskim limfocitima izazvanih nakon izlaganja ionizirajućem zračenju od 2 Gy [Influence of SNP polymorphisms in DNA repair genes on the level of permanent damage of human lymphocytes after exposure to 2 Gy of ionising radiation. </w:t>
            </w:r>
            <w:r w:rsidRPr="00F0586F">
              <w:rPr>
                <w:rFonts w:ascii="Times New Roman" w:hAnsi="Times New Roman"/>
                <w:i/>
                <w:sz w:val="24"/>
                <w:szCs w:val="24"/>
              </w:rPr>
              <w:t>In Croatian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 w:rsidRPr="00F0586F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: Krajcar Bronić I, Kopjar N,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Branica G (eds.). </w:t>
            </w:r>
            <w:r w:rsidRPr="00F0586F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>Proceedings of the 8th Symposium of the Croatian Radiation Protection Association</w:t>
            </w:r>
            <w:r w:rsidRPr="00F0586F">
              <w:rPr>
                <w:rFonts w:ascii="Times New Roman" w:eastAsia="BookAntiqua" w:hAnsi="Times New Roman"/>
                <w:sz w:val="24"/>
                <w:szCs w:val="24"/>
                <w:lang w:val="en-GB"/>
              </w:rPr>
              <w:t xml:space="preserve">. Denona, Zagreb, pp. 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123-128</w:t>
            </w:r>
          </w:p>
          <w:p w:rsidR="009B5BE1" w:rsidRPr="003A49E1" w:rsidRDefault="009B5BE1" w:rsidP="009C5C9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Šegvić Klarić M, Kosalec I,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Vladimir-Knežević S, Blažeković B, Kopjar N (2011) 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 xml:space="preserve">Inhibicija foro-genotoksičnih učinaka UV zračenja na limfocitima periferne krvi čovjeka pomoću ekstrakta vrste </w:t>
            </w:r>
            <w:r w:rsidRPr="003A49E1">
              <w:rPr>
                <w:rFonts w:ascii="Times New Roman" w:hAnsi="Times New Roman"/>
                <w:i/>
                <w:sz w:val="24"/>
                <w:szCs w:val="24"/>
              </w:rPr>
              <w:t xml:space="preserve">Echinacea purpurea 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 xml:space="preserve">(L.) Moench. </w:t>
            </w:r>
            <w:r w:rsidRPr="003A49E1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 xml:space="preserve">: Krajcar Bronić I, Kopjar N, </w:t>
            </w:r>
            <w:r w:rsidRPr="003A49E1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 xml:space="preserve">, Branica G (eds.). </w:t>
            </w:r>
            <w:r w:rsidRPr="003A49E1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>Proceedings of the 8th Symposium of the Croatian Radiation Protection Association</w:t>
            </w:r>
            <w:r w:rsidRPr="003A49E1">
              <w:rPr>
                <w:rFonts w:ascii="Times New Roman" w:eastAsia="BookAntiqua" w:hAnsi="Times New Roman"/>
                <w:sz w:val="24"/>
                <w:szCs w:val="24"/>
                <w:lang w:val="en-GB"/>
              </w:rPr>
              <w:t xml:space="preserve">. Denona, Zagreb, pp. 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>173-178</w:t>
            </w:r>
          </w:p>
          <w:p w:rsidR="003A49E1" w:rsidRPr="003A49E1" w:rsidRDefault="003A49E1" w:rsidP="003A49E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Juretić Hrvoje, Dobrović Slaven, Ljubas Davor, Vinković Vrček 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Milić </w:t>
            </w:r>
            <w:r w:rsidRPr="003A49E1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Kopjar N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(2011).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49E1">
              <w:rPr>
                <w:rFonts w:ascii="Times New Roman" w:hAnsi="Times New Roman"/>
                <w:bCs/>
                <w:sz w:val="24"/>
                <w:szCs w:val="24"/>
              </w:rPr>
              <w:t>Comparison of Disinfection Byproducts from Using Chlorine and Chlorine Dioxide in Drinking Water Distribution Systems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A49E1">
              <w:rPr>
                <w:rFonts w:ascii="Times New Roman" w:hAnsi="Times New Roman"/>
                <w:i/>
                <w:iCs/>
                <w:sz w:val="24"/>
                <w:szCs w:val="24"/>
              </w:rPr>
              <w:t>Fourth IWA Specialty Conference on Natural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A49E1">
              <w:rPr>
                <w:rFonts w:ascii="Times New Roman" w:hAnsi="Times New Roman"/>
                <w:i/>
                <w:iCs/>
                <w:sz w:val="24"/>
                <w:szCs w:val="24"/>
              </w:rPr>
              <w:t>Organic Matter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 </w:t>
            </w:r>
            <w:r w:rsidRPr="003A49E1">
              <w:rPr>
                <w:rFonts w:ascii="Times New Roman" w:hAnsi="Times New Roman"/>
                <w:sz w:val="24"/>
                <w:szCs w:val="24"/>
              </w:rPr>
              <w:t>Costa Mesa, California, USA</w:t>
            </w:r>
          </w:p>
          <w:p w:rsidR="009B5BE1" w:rsidRPr="00F0586F" w:rsidRDefault="009B5BE1" w:rsidP="009C5C9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Kopjar N, Miočić S, Ramić S,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Viculin T (2005) Assessment of the radioprotective effects of amifostine and melatonin on human lymphocytes irradiated with gamma rays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in vitro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86F">
              <w:rPr>
                <w:rFonts w:ascii="Times New Roman" w:eastAsia="BookAntiqua" w:hAnsi="Times New Roman"/>
                <w:i/>
                <w:sz w:val="24"/>
                <w:szCs w:val="24"/>
                <w:lang w:val="en-GB"/>
              </w:rPr>
              <w:t>Proceedings of the 6th Symposium of the Croatian Radiation Protection Association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. Denona, Zagreb, pp. 194-199</w:t>
            </w: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B5BE1" w:rsidRDefault="009B5BE1" w:rsidP="00F05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ABSTRACTS IN BOOK OF ABSTRACTS</w:t>
            </w:r>
          </w:p>
          <w:p w:rsidR="00E72886" w:rsidRPr="00F0586F" w:rsidRDefault="00E72886" w:rsidP="00F05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9B5BE1" w:rsidRPr="001D2FDB" w:rsidRDefault="009B5BE1" w:rsidP="009C5C97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B62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Vrček IV, Leitinger G, Goessler W (2012) Assessment of primary DNA damage </w:t>
            </w:r>
            <w:r w:rsidRPr="001D2FDB">
              <w:rPr>
                <w:rFonts w:ascii="Times New Roman" w:hAnsi="Times New Roman"/>
                <w:sz w:val="24"/>
                <w:szCs w:val="24"/>
              </w:rPr>
              <w:t>on PK15 cell line after 24 and 48 hours exposure to silver nanoparticles in vitro. NANOSAFETY Congress. Kemer, Antalya, Turkey, PS1-O3</w:t>
            </w:r>
          </w:p>
          <w:p w:rsidR="001D2FDB" w:rsidRPr="001D2FDB" w:rsidRDefault="001D2FDB" w:rsidP="009C5C97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Milić </w:t>
            </w:r>
            <w:r w:rsidRPr="001D2FDB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Rašić D, Angelini S, Peraica M. (2012) </w:t>
            </w:r>
            <w:r w:rsidRPr="001D2FDB">
              <w:rPr>
                <w:rFonts w:ascii="Times New Roman" w:hAnsi="Times New Roman"/>
                <w:bCs/>
                <w:sz w:val="24"/>
                <w:szCs w:val="24"/>
              </w:rPr>
              <w:t>Influence of hOGG1 and XRCC1 polymorphism on MDA concentrations in occupationally exposed radiation workers after irradiation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D2FDB">
              <w:rPr>
                <w:rFonts w:ascii="Times New Roman" w:hAnsi="Times New Roman"/>
                <w:i/>
                <w:iCs/>
                <w:sz w:val="24"/>
                <w:szCs w:val="24"/>
              </w:rPr>
              <w:t>Abstracts of the 4th Croatian congress of Toxicology (CROTOX 2012)</w:t>
            </w:r>
            <w:r>
              <w:rPr>
                <w:rFonts w:ascii="Times New Roman" w:hAnsi="Times New Roman"/>
                <w:sz w:val="24"/>
                <w:szCs w:val="24"/>
              </w:rPr>
              <w:t>, Želježić Davor (eds). Zagreb</w:t>
            </w:r>
            <w:r w:rsidRPr="001D2FDB">
              <w:rPr>
                <w:rFonts w:ascii="Times New Roman" w:hAnsi="Times New Roman"/>
                <w:sz w:val="24"/>
                <w:szCs w:val="24"/>
              </w:rPr>
              <w:t xml:space="preserve">: Institute for Medical Research and Occupational Health, </w:t>
            </w:r>
            <w:r>
              <w:rPr>
                <w:rFonts w:ascii="Times New Roman" w:hAnsi="Times New Roman"/>
                <w:sz w:val="24"/>
                <w:szCs w:val="24"/>
              </w:rPr>
              <w:t>pp.</w:t>
            </w:r>
            <w:r w:rsidRPr="001D2FDB">
              <w:rPr>
                <w:rFonts w:ascii="Times New Roman" w:hAnsi="Times New Roman"/>
                <w:sz w:val="24"/>
                <w:szCs w:val="24"/>
              </w:rPr>
              <w:t xml:space="preserve"> 54-54</w:t>
            </w:r>
          </w:p>
          <w:p w:rsidR="009B5BE1" w:rsidRPr="00F0586F" w:rsidRDefault="009B5BE1" w:rsidP="009C5C97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FDB">
              <w:rPr>
                <w:rFonts w:ascii="Times New Roman" w:hAnsi="Times New Roman"/>
                <w:sz w:val="24"/>
                <w:szCs w:val="24"/>
              </w:rPr>
              <w:t xml:space="preserve">Fucic A, Katic J, Gamulin M, </w:t>
            </w:r>
            <w:r w:rsidRPr="001D2FDB">
              <w:rPr>
                <w:rFonts w:ascii="Times New Roman" w:hAnsi="Times New Roman"/>
                <w:b/>
                <w:sz w:val="24"/>
                <w:szCs w:val="24"/>
              </w:rPr>
              <w:t>Milic M</w:t>
            </w:r>
            <w:r w:rsidRPr="001D2FDB">
              <w:rPr>
                <w:rFonts w:ascii="Times New Roman" w:hAnsi="Times New Roman"/>
                <w:sz w:val="24"/>
                <w:szCs w:val="24"/>
              </w:rPr>
              <w:t xml:space="preserve">, Kirsch-Volders M, Kogevinas M (2011) Aetiology of increased micronucleus frequency in mononuclear lymphocytes and reticulocytes in newborns. </w:t>
            </w:r>
            <w:r w:rsidRPr="001D2FDB"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  <w:r w:rsidRPr="001D2FDB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st</w:t>
            </w:r>
            <w:r w:rsidRPr="001D2FDB">
              <w:rPr>
                <w:rFonts w:ascii="Times New Roman" w:hAnsi="Times New Roman"/>
                <w:iCs/>
                <w:sz w:val="24"/>
                <w:szCs w:val="24"/>
              </w:rPr>
              <w:t xml:space="preserve"> Annual Meeting of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 xml:space="preserve"> the European Environmental Mutagen Society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Barcelona, Spain: EEMS, pp. 84, S060 </w:t>
            </w:r>
          </w:p>
          <w:p w:rsidR="009B5BE1" w:rsidRPr="00F0586F" w:rsidRDefault="009B5BE1" w:rsidP="009C5C97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, Rozgaj R, Kašuba V (2007)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Preliminary results of the cytogenetic study on the occupational exposed lead workers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The 5th International Conference on Environmental Mutagens in Human Populations,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Tekyrova, Antalya, Turkey,pp. 41 </w:t>
            </w:r>
          </w:p>
          <w:p w:rsidR="009B5BE1" w:rsidRPr="00F0586F" w:rsidRDefault="009B5BE1" w:rsidP="009C5C97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Kopjar N, Ramić S,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M, Pavlica V (2006) </w:t>
            </w:r>
            <w:r w:rsidRPr="00F0586F">
              <w:rPr>
                <w:rFonts w:ascii="Times New Roman" w:hAnsi="Times New Roman"/>
                <w:bCs/>
                <w:sz w:val="24"/>
                <w:szCs w:val="24"/>
              </w:rPr>
              <w:t>Genotoxicity of irinotecan in human lymphocytes assessed using the cytokinesis-block micronucleus assay in vitro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586F">
              <w:rPr>
                <w:rFonts w:ascii="Times New Roman" w:hAnsi="Times New Roman"/>
                <w:i/>
                <w:sz w:val="24"/>
                <w:szCs w:val="24"/>
              </w:rPr>
              <w:t>In: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Šram, Radim J (ed.) 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>PROGRAMME AND ABSTRACTS, From Genes to Molecular Epidemiology, 36</w:t>
            </w:r>
            <w:r w:rsidRPr="00F0586F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th</w:t>
            </w:r>
            <w:r w:rsidRPr="00F0586F">
              <w:rPr>
                <w:rFonts w:ascii="Times New Roman" w:hAnsi="Times New Roman"/>
                <w:iCs/>
                <w:sz w:val="24"/>
                <w:szCs w:val="24"/>
              </w:rPr>
              <w:t xml:space="preserve"> Annual Meeting of the European Environmental Mutagen Society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.Prag, Češka : EEMS, pp. 170 </w:t>
            </w:r>
          </w:p>
          <w:p w:rsidR="009B5BE1" w:rsidRPr="00F0586F" w:rsidRDefault="009B5BE1" w:rsidP="009C5C97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Milic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, Rozgaj R, Kasuba V (2006) Estimation of DNA damage in workers occupationally exposed to alpha and neutron radiation sources. The IX International Workshop on Radiation Damage to DNA, P-18</w:t>
            </w:r>
          </w:p>
          <w:p w:rsidR="009B5BE1" w:rsidRPr="00F0586F" w:rsidRDefault="009B5BE1" w:rsidP="009C5C97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Kopjar N,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>, Ramić S (2004) The assessment of bleomycin and mitomycin C toxicity on human peripheral lymphocytes using the alkaline comet assay. CROTOX, Croatian Toxicological Society, pp. 96</w:t>
            </w:r>
          </w:p>
          <w:p w:rsidR="009B5BE1" w:rsidRPr="00F0586F" w:rsidRDefault="009B5BE1" w:rsidP="009C5C97">
            <w:pPr>
              <w:numPr>
                <w:ilvl w:val="0"/>
                <w:numId w:val="10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86F">
              <w:rPr>
                <w:rFonts w:ascii="Times New Roman" w:hAnsi="Times New Roman"/>
                <w:sz w:val="24"/>
                <w:szCs w:val="24"/>
              </w:rPr>
              <w:t xml:space="preserve">Pleša N, 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>Milić M,</w:t>
            </w:r>
            <w:r w:rsidRPr="00F0586F">
              <w:rPr>
                <w:rFonts w:ascii="Times New Roman" w:hAnsi="Times New Roman"/>
                <w:sz w:val="24"/>
                <w:szCs w:val="24"/>
              </w:rPr>
              <w:t xml:space="preserve"> Ramić S, Kopjar N (2005) Assessment of irinotecan genotoxicity using the comet assay. Final Programme and Book of Abstracts, Croatian Genetic Society, pp. 76</w:t>
            </w:r>
            <w:r w:rsidRPr="00F0586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9B5BE1" w:rsidRPr="00F0586F" w:rsidTr="00F0586F">
        <w:tc>
          <w:tcPr>
            <w:tcW w:w="9288" w:type="dxa"/>
            <w:gridSpan w:val="2"/>
            <w:shd w:val="clear" w:color="auto" w:fill="D9D9D9"/>
          </w:tcPr>
          <w:p w:rsidR="009B5BE1" w:rsidRPr="00793EA7" w:rsidRDefault="009B5BE1" w:rsidP="00793EA7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OTHER RESEARCH ACTIVITIES</w:t>
            </w: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F0586F">
              <w:rPr>
                <w:rFonts w:ascii="Times New Roman" w:hAnsi="Times New Roman"/>
                <w:b/>
                <w:sz w:val="24"/>
                <w:szCs w:val="24"/>
                <w:shd w:val="clear" w:color="auto" w:fill="F3F3F3"/>
                <w:lang w:val="en-GB"/>
              </w:rPr>
              <w:t>(CHRONOLOGICALLY; CHIEF EDITOR OR EDITOR OF RESEARCH BOOK, HOME AND INTERNATIONAL RESEARCH JOURNALS, HOME AND INTERNATIONAL CONFERENCE PROCEEDINGS AND OTHER)</w:t>
            </w:r>
          </w:p>
        </w:tc>
      </w:tr>
      <w:tr w:rsidR="009B5BE1" w:rsidRPr="00F0586F" w:rsidTr="00F0586F">
        <w:tc>
          <w:tcPr>
            <w:tcW w:w="9288" w:type="dxa"/>
            <w:gridSpan w:val="2"/>
          </w:tcPr>
          <w:p w:rsidR="009B5BE1" w:rsidRPr="00F0586F" w:rsidRDefault="009B5BE1" w:rsidP="00F0586F">
            <w:pPr>
              <w:pStyle w:val="Eaoaeaa"/>
              <w:widowControl/>
              <w:spacing w:before="20" w:after="20"/>
              <w:rPr>
                <w:sz w:val="24"/>
                <w:szCs w:val="24"/>
                <w:lang w:val="hr-HR"/>
              </w:rPr>
            </w:pPr>
            <w:r w:rsidRPr="009E7F9E">
              <w:rPr>
                <w:b/>
                <w:sz w:val="24"/>
                <w:szCs w:val="24"/>
                <w:lang w:val="hr-HR"/>
              </w:rPr>
              <w:t>2011</w:t>
            </w:r>
            <w:r w:rsidRPr="00F0586F">
              <w:rPr>
                <w:sz w:val="24"/>
                <w:szCs w:val="24"/>
                <w:lang w:val="hr-HR"/>
              </w:rPr>
              <w:t xml:space="preserve">- </w:t>
            </w:r>
            <w:r w:rsidRPr="009E7F9E">
              <w:rPr>
                <w:b/>
                <w:sz w:val="24"/>
                <w:szCs w:val="24"/>
                <w:lang w:val="hr-HR"/>
              </w:rPr>
              <w:t>One of the editors of the book</w:t>
            </w:r>
            <w:r w:rsidRPr="00F0586F">
              <w:rPr>
                <w:sz w:val="24"/>
                <w:szCs w:val="24"/>
                <w:lang w:val="hr-HR"/>
              </w:rPr>
              <w:t xml:space="preserve">: </w:t>
            </w:r>
            <w:r w:rsidRPr="009E7F9E">
              <w:rPr>
                <w:b/>
                <w:sz w:val="24"/>
                <w:szCs w:val="24"/>
                <w:lang w:val="hr-HR"/>
              </w:rPr>
              <w:t>Proceedings of the Eighth Symposium of the Croatian Radiation Protection Association</w:t>
            </w:r>
            <w:r w:rsidRPr="00F0586F">
              <w:rPr>
                <w:sz w:val="24"/>
                <w:szCs w:val="24"/>
                <w:lang w:val="hr-HR"/>
              </w:rPr>
              <w:t>, 13.-15. April, 2011</w:t>
            </w:r>
          </w:p>
        </w:tc>
      </w:tr>
      <w:tr w:rsidR="009B5BE1" w:rsidRPr="00F0586F" w:rsidTr="00F0586F">
        <w:tc>
          <w:tcPr>
            <w:tcW w:w="9288" w:type="dxa"/>
            <w:gridSpan w:val="2"/>
          </w:tcPr>
          <w:p w:rsidR="009B5BE1" w:rsidRDefault="009B5BE1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0586F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COMPUTER SKILLS</w:t>
            </w:r>
          </w:p>
          <w:p w:rsidR="00E72886" w:rsidRPr="00F0586F" w:rsidRDefault="00E72886" w:rsidP="00F058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5BE1" w:rsidRPr="00F0586F" w:rsidTr="00F0586F">
        <w:tc>
          <w:tcPr>
            <w:tcW w:w="9288" w:type="dxa"/>
            <w:gridSpan w:val="2"/>
          </w:tcPr>
          <w:p w:rsidR="009B5BE1" w:rsidRDefault="009B5BE1" w:rsidP="00793EA7">
            <w:pPr>
              <w:pStyle w:val="Eaoaeaa"/>
              <w:widowControl/>
              <w:spacing w:before="20" w:after="20"/>
              <w:rPr>
                <w:sz w:val="24"/>
                <w:szCs w:val="24"/>
                <w:lang w:val="en-GB"/>
              </w:rPr>
            </w:pPr>
            <w:r w:rsidRPr="00F0586F">
              <w:rPr>
                <w:sz w:val="24"/>
                <w:szCs w:val="24"/>
                <w:lang w:val="en-GB"/>
              </w:rPr>
              <w:t>MS Office</w:t>
            </w:r>
          </w:p>
          <w:p w:rsidR="009B5BE1" w:rsidRDefault="009B5BE1" w:rsidP="00793EA7">
            <w:pPr>
              <w:pStyle w:val="Eaoaeaa"/>
              <w:widowControl/>
              <w:spacing w:before="20" w:after="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STATISTICA 9.0</w:t>
            </w:r>
          </w:p>
          <w:p w:rsidR="009E7F9E" w:rsidRPr="00793EA7" w:rsidRDefault="009E7F9E" w:rsidP="00793EA7">
            <w:pPr>
              <w:pStyle w:val="Eaoaeaa"/>
              <w:widowControl/>
              <w:spacing w:before="20" w:after="20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GraphPad Prism</w:t>
            </w:r>
          </w:p>
        </w:tc>
      </w:tr>
    </w:tbl>
    <w:p w:rsidR="00457E08" w:rsidRPr="00096560" w:rsidRDefault="00457E08" w:rsidP="00096560"/>
    <w:sectPr w:rsidR="00457E08" w:rsidRPr="00096560" w:rsidSect="0045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464" w:rsidRDefault="00F91464" w:rsidP="00096560">
      <w:pPr>
        <w:spacing w:after="0" w:line="240" w:lineRule="auto"/>
      </w:pPr>
      <w:r>
        <w:separator/>
      </w:r>
    </w:p>
  </w:endnote>
  <w:endnote w:type="continuationSeparator" w:id="1">
    <w:p w:rsidR="00F91464" w:rsidRDefault="00F91464" w:rsidP="0009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UnicodeMS">
    <w:altName w:val="Japanese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464" w:rsidRDefault="00F91464" w:rsidP="00096560">
      <w:pPr>
        <w:spacing w:after="0" w:line="240" w:lineRule="auto"/>
      </w:pPr>
      <w:r>
        <w:separator/>
      </w:r>
    </w:p>
  </w:footnote>
  <w:footnote w:type="continuationSeparator" w:id="1">
    <w:p w:rsidR="00F91464" w:rsidRDefault="00F91464" w:rsidP="00096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DFE"/>
    <w:multiLevelType w:val="hybridMultilevel"/>
    <w:tmpl w:val="6C14D8DC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4C07787"/>
    <w:multiLevelType w:val="multilevel"/>
    <w:tmpl w:val="7E32E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E62FD"/>
    <w:multiLevelType w:val="hybridMultilevel"/>
    <w:tmpl w:val="8C2C0E5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7A709D"/>
    <w:multiLevelType w:val="hybridMultilevel"/>
    <w:tmpl w:val="BEEAC6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C1E47"/>
    <w:multiLevelType w:val="hybridMultilevel"/>
    <w:tmpl w:val="5CE4331A"/>
    <w:lvl w:ilvl="0" w:tplc="041A000F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5">
    <w:nsid w:val="2DC353A7"/>
    <w:multiLevelType w:val="hybridMultilevel"/>
    <w:tmpl w:val="DF9CFD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21575"/>
    <w:multiLevelType w:val="hybridMultilevel"/>
    <w:tmpl w:val="DA8A828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E17711"/>
    <w:multiLevelType w:val="hybridMultilevel"/>
    <w:tmpl w:val="5BF8C5AE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5D6E1219"/>
    <w:multiLevelType w:val="hybridMultilevel"/>
    <w:tmpl w:val="3B62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0607C"/>
    <w:multiLevelType w:val="hybridMultilevel"/>
    <w:tmpl w:val="A1141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77B8C"/>
    <w:multiLevelType w:val="hybridMultilevel"/>
    <w:tmpl w:val="44E8E9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560"/>
    <w:rsid w:val="0009328E"/>
    <w:rsid w:val="00096560"/>
    <w:rsid w:val="000C2BBB"/>
    <w:rsid w:val="000C5B8B"/>
    <w:rsid w:val="000D1E67"/>
    <w:rsid w:val="00112087"/>
    <w:rsid w:val="00115A3E"/>
    <w:rsid w:val="00175283"/>
    <w:rsid w:val="001A26EA"/>
    <w:rsid w:val="001D2FDB"/>
    <w:rsid w:val="002044B2"/>
    <w:rsid w:val="00207C1A"/>
    <w:rsid w:val="002B6799"/>
    <w:rsid w:val="002E1DAB"/>
    <w:rsid w:val="003379DF"/>
    <w:rsid w:val="00383FC4"/>
    <w:rsid w:val="003A49E1"/>
    <w:rsid w:val="00417E83"/>
    <w:rsid w:val="00450984"/>
    <w:rsid w:val="00453DD2"/>
    <w:rsid w:val="00457E08"/>
    <w:rsid w:val="004828DE"/>
    <w:rsid w:val="004A0660"/>
    <w:rsid w:val="005202EE"/>
    <w:rsid w:val="00545BD3"/>
    <w:rsid w:val="005A38D9"/>
    <w:rsid w:val="005F6272"/>
    <w:rsid w:val="00630612"/>
    <w:rsid w:val="0064545E"/>
    <w:rsid w:val="0065323E"/>
    <w:rsid w:val="006E01B4"/>
    <w:rsid w:val="00793EA7"/>
    <w:rsid w:val="007A4E6F"/>
    <w:rsid w:val="007F7DBC"/>
    <w:rsid w:val="00834B3A"/>
    <w:rsid w:val="008F1DC0"/>
    <w:rsid w:val="00973024"/>
    <w:rsid w:val="009B5BE1"/>
    <w:rsid w:val="009C5C97"/>
    <w:rsid w:val="009E7F9E"/>
    <w:rsid w:val="00A0255C"/>
    <w:rsid w:val="00A3657A"/>
    <w:rsid w:val="00AE5433"/>
    <w:rsid w:val="00AF0FAD"/>
    <w:rsid w:val="00B614A7"/>
    <w:rsid w:val="00B6404D"/>
    <w:rsid w:val="00C53BE2"/>
    <w:rsid w:val="00D55853"/>
    <w:rsid w:val="00DA73FB"/>
    <w:rsid w:val="00DB681E"/>
    <w:rsid w:val="00DD79E7"/>
    <w:rsid w:val="00E5788C"/>
    <w:rsid w:val="00E65AD3"/>
    <w:rsid w:val="00E72886"/>
    <w:rsid w:val="00E857E7"/>
    <w:rsid w:val="00F0586F"/>
    <w:rsid w:val="00F52B62"/>
    <w:rsid w:val="00F67539"/>
    <w:rsid w:val="00F740B4"/>
    <w:rsid w:val="00F91464"/>
    <w:rsid w:val="00FD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E08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093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6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e"/>
    <w:next w:val="Normale"/>
    <w:rsid w:val="00096560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val="en-US" w:eastAsia="ko-KR"/>
    </w:rPr>
  </w:style>
  <w:style w:type="paragraph" w:customStyle="1" w:styleId="Aaoeeu">
    <w:name w:val="Aaoeeu"/>
    <w:rsid w:val="00096560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2">
    <w:name w:val="A?eeaoae?aa 2"/>
    <w:basedOn w:val="Aaoeeu"/>
    <w:next w:val="Aaoeeu"/>
    <w:rsid w:val="00096560"/>
    <w:pPr>
      <w:keepNext/>
      <w:jc w:val="right"/>
    </w:pPr>
    <w:rPr>
      <w:i/>
      <w:iCs/>
    </w:rPr>
  </w:style>
  <w:style w:type="paragraph" w:styleId="Testonotaapidipagina">
    <w:name w:val="footnote text"/>
    <w:basedOn w:val="Normale"/>
    <w:link w:val="TestonotaapidipaginaCarattere"/>
    <w:semiHidden/>
    <w:rsid w:val="0009656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ko-K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96560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Rimandonotaapidipagina">
    <w:name w:val="footnote reference"/>
    <w:basedOn w:val="Carpredefinitoparagrafo"/>
    <w:semiHidden/>
    <w:rsid w:val="00096560"/>
    <w:rPr>
      <w:vertAlign w:val="superscript"/>
    </w:rPr>
  </w:style>
  <w:style w:type="paragraph" w:customStyle="1" w:styleId="OiaeaeiYiio2">
    <w:name w:val="O?ia eaeiYiio 2"/>
    <w:basedOn w:val="Aaoeeu"/>
    <w:rsid w:val="00207C1A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rsid w:val="00207C1A"/>
    <w:pPr>
      <w:tabs>
        <w:tab w:val="center" w:pos="4153"/>
        <w:tab w:val="right" w:pos="8306"/>
      </w:tabs>
    </w:pPr>
  </w:style>
  <w:style w:type="character" w:styleId="Enfasigrassetto">
    <w:name w:val="Strong"/>
    <w:basedOn w:val="Carpredefinitoparagrafo"/>
    <w:uiPriority w:val="22"/>
    <w:qFormat/>
    <w:rsid w:val="00A3657A"/>
    <w:rPr>
      <w:b/>
      <w:bCs/>
    </w:rPr>
  </w:style>
  <w:style w:type="paragraph" w:styleId="NormaleWeb">
    <w:name w:val="Normal (Web)"/>
    <w:basedOn w:val="Normale"/>
    <w:rsid w:val="00A36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Collegamentoipertestuale">
    <w:name w:val="Hyperlink"/>
    <w:basedOn w:val="Carpredefinitoparagrafo"/>
    <w:rsid w:val="002E1DAB"/>
    <w:rPr>
      <w:rFonts w:cs="Times New Roman"/>
      <w:color w:val="0000FF"/>
      <w:sz w:val="20"/>
      <w:szCs w:val="20"/>
      <w:u w:val="single"/>
    </w:rPr>
  </w:style>
  <w:style w:type="character" w:customStyle="1" w:styleId="journalname">
    <w:name w:val="journalname"/>
    <w:basedOn w:val="Carpredefinitoparagrafo"/>
    <w:rsid w:val="002E1DAB"/>
    <w:rPr>
      <w:rFonts w:cs="Times New Roman"/>
    </w:rPr>
  </w:style>
  <w:style w:type="paragraph" w:customStyle="1" w:styleId="title">
    <w:name w:val="title"/>
    <w:basedOn w:val="Normale"/>
    <w:rsid w:val="002E1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jrnl">
    <w:name w:val="jrnl"/>
    <w:basedOn w:val="Carpredefinitoparagrafo"/>
    <w:rsid w:val="002E1DAB"/>
  </w:style>
  <w:style w:type="character" w:customStyle="1" w:styleId="bibrecord-highlight-user">
    <w:name w:val="bibrecord-highlight-user"/>
    <w:basedOn w:val="Carpredefinitoparagrafo"/>
    <w:rsid w:val="002E1DAB"/>
  </w:style>
  <w:style w:type="character" w:customStyle="1" w:styleId="titles-title">
    <w:name w:val="titles-title"/>
    <w:basedOn w:val="Carpredefinitoparagrafo"/>
    <w:rsid w:val="002E1DAB"/>
  </w:style>
  <w:style w:type="character" w:customStyle="1" w:styleId="titles-source">
    <w:name w:val="titles-source"/>
    <w:basedOn w:val="Carpredefinitoparagrafo"/>
    <w:rsid w:val="002E1DAB"/>
  </w:style>
  <w:style w:type="paragraph" w:styleId="PreformattatoHTML">
    <w:name w:val="HTML Preformatted"/>
    <w:basedOn w:val="Normale"/>
    <w:link w:val="PreformattatoHTMLCarattere"/>
    <w:uiPriority w:val="99"/>
    <w:unhideWhenUsed/>
    <w:rsid w:val="009B5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B5BE1"/>
    <w:rPr>
      <w:rFonts w:ascii="Courier New" w:eastAsia="Times New Roman" w:hAnsi="Courier New" w:cs="Courier New"/>
    </w:rPr>
  </w:style>
  <w:style w:type="paragraph" w:customStyle="1" w:styleId="desc">
    <w:name w:val="desc"/>
    <w:basedOn w:val="Normale"/>
    <w:rsid w:val="00DA7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tails">
    <w:name w:val="details"/>
    <w:basedOn w:val="Normale"/>
    <w:rsid w:val="00DA7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nfasicorsivo">
    <w:name w:val="Emphasis"/>
    <w:basedOn w:val="Carpredefinitoparagrafo"/>
    <w:uiPriority w:val="20"/>
    <w:qFormat/>
    <w:rsid w:val="00115A3E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328E"/>
    <w:rPr>
      <w:rFonts w:ascii="Times New Roman" w:eastAsia="Times New Roman" w:hAnsi="Times New Roman"/>
      <w:b/>
      <w:bCs/>
      <w:sz w:val="36"/>
      <w:szCs w:val="3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3120</Words>
  <Characters>17784</Characters>
  <Application>Microsoft Office Word</Application>
  <DocSecurity>0</DocSecurity>
  <Lines>148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20863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mmilic</dc:creator>
  <cp:lastModifiedBy>mirta.milic</cp:lastModifiedBy>
  <cp:revision>2</cp:revision>
  <dcterms:created xsi:type="dcterms:W3CDTF">2014-02-25T10:23:00Z</dcterms:created>
  <dcterms:modified xsi:type="dcterms:W3CDTF">2014-02-25T10:23:00Z</dcterms:modified>
</cp:coreProperties>
</file>